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823EE" w14:textId="77777777" w:rsidR="005F44EB" w:rsidRDefault="005F44EB" w:rsidP="00B60375">
      <w:pPr>
        <w:spacing w:line="276" w:lineRule="auto"/>
        <w:jc w:val="both"/>
        <w:rPr>
          <w:b/>
          <w:bCs/>
          <w:lang w:eastAsia="cs-CZ"/>
        </w:rPr>
      </w:pPr>
    </w:p>
    <w:p w14:paraId="648949CC" w14:textId="2BBB494F" w:rsidR="00B60375" w:rsidRPr="00B60375" w:rsidRDefault="00B60375" w:rsidP="005F44EB">
      <w:pPr>
        <w:pBdr>
          <w:top w:val="single" w:sz="4" w:space="1" w:color="auto"/>
          <w:left w:val="single" w:sz="4" w:space="4" w:color="auto"/>
          <w:bottom w:val="single" w:sz="4" w:space="1" w:color="auto"/>
          <w:right w:val="single" w:sz="4" w:space="4" w:color="auto"/>
        </w:pBdr>
        <w:spacing w:line="276" w:lineRule="auto"/>
        <w:jc w:val="center"/>
        <w:rPr>
          <w:b/>
          <w:bCs/>
          <w:lang w:eastAsia="cs-CZ"/>
        </w:rPr>
      </w:pPr>
      <w:r w:rsidRPr="00B60375">
        <w:rPr>
          <w:b/>
          <w:bCs/>
          <w:lang w:eastAsia="cs-CZ"/>
        </w:rPr>
        <w:t xml:space="preserve">PŘÍLOHA Č. </w:t>
      </w:r>
      <w:r w:rsidR="004757D3">
        <w:rPr>
          <w:b/>
          <w:bCs/>
          <w:lang w:eastAsia="cs-CZ"/>
        </w:rPr>
        <w:t>5</w:t>
      </w:r>
      <w:r w:rsidRPr="00B60375">
        <w:rPr>
          <w:b/>
          <w:bCs/>
          <w:lang w:eastAsia="cs-CZ"/>
        </w:rPr>
        <w:t xml:space="preserve"> – </w:t>
      </w:r>
      <w:r w:rsidR="00A05456">
        <w:rPr>
          <w:b/>
          <w:bCs/>
          <w:lang w:eastAsia="cs-CZ"/>
        </w:rPr>
        <w:t xml:space="preserve">DOPLŇUJÍCÍ INFORMACE K </w:t>
      </w:r>
      <w:r w:rsidRPr="00B60375">
        <w:rPr>
          <w:b/>
          <w:bCs/>
          <w:lang w:eastAsia="cs-CZ"/>
        </w:rPr>
        <w:t>VEŘEJN</w:t>
      </w:r>
      <w:r w:rsidR="00A05456">
        <w:rPr>
          <w:b/>
          <w:bCs/>
          <w:lang w:eastAsia="cs-CZ"/>
        </w:rPr>
        <w:t>É</w:t>
      </w:r>
      <w:r w:rsidRPr="00B60375">
        <w:rPr>
          <w:b/>
          <w:bCs/>
          <w:lang w:eastAsia="cs-CZ"/>
        </w:rPr>
        <w:t xml:space="preserve"> PODPO</w:t>
      </w:r>
      <w:r w:rsidR="00A05456">
        <w:rPr>
          <w:b/>
          <w:bCs/>
          <w:lang w:eastAsia="cs-CZ"/>
        </w:rPr>
        <w:t>ŘE</w:t>
      </w:r>
    </w:p>
    <w:p w14:paraId="1DB92227" w14:textId="77777777" w:rsidR="00B60375" w:rsidRDefault="00B60375" w:rsidP="00B60375">
      <w:pPr>
        <w:spacing w:line="276" w:lineRule="auto"/>
        <w:jc w:val="both"/>
        <w:rPr>
          <w:lang w:eastAsia="cs-CZ"/>
        </w:rPr>
      </w:pPr>
    </w:p>
    <w:p w14:paraId="6471746A" w14:textId="77777777" w:rsidR="00B60375" w:rsidRPr="00DB045A" w:rsidRDefault="00B60375" w:rsidP="00B60375">
      <w:pPr>
        <w:spacing w:line="276" w:lineRule="auto"/>
        <w:jc w:val="both"/>
        <w:rPr>
          <w:lang w:eastAsia="cs-CZ"/>
        </w:rPr>
      </w:pPr>
      <w:r w:rsidRPr="00DB045A">
        <w:rPr>
          <w:lang w:eastAsia="cs-CZ"/>
        </w:rPr>
        <w:t xml:space="preserve">O nedovolené veřejné podpoře mluvíme, jsou-li </w:t>
      </w:r>
      <w:r w:rsidRPr="00DB045A">
        <w:rPr>
          <w:b/>
          <w:bCs/>
          <w:lang w:eastAsia="cs-CZ"/>
        </w:rPr>
        <w:t>zároveň naplněny všechny čtyři základní znaky veřejné podpory.</w:t>
      </w:r>
    </w:p>
    <w:p w14:paraId="6F8BE72A" w14:textId="77777777" w:rsidR="00B60375" w:rsidRPr="00DB045A" w:rsidRDefault="00B60375" w:rsidP="00B60375">
      <w:pPr>
        <w:spacing w:line="276" w:lineRule="auto"/>
        <w:jc w:val="both"/>
        <w:rPr>
          <w:lang w:eastAsia="cs-CZ"/>
        </w:rPr>
      </w:pPr>
    </w:p>
    <w:p w14:paraId="65301C3C" w14:textId="732B7B11" w:rsidR="00B60375" w:rsidRPr="00B60375" w:rsidRDefault="00B60375" w:rsidP="00B60375">
      <w:pPr>
        <w:pStyle w:val="Nadpis2"/>
        <w:numPr>
          <w:ilvl w:val="0"/>
          <w:numId w:val="17"/>
        </w:numPr>
        <w:spacing w:line="276" w:lineRule="auto"/>
        <w:jc w:val="both"/>
        <w:rPr>
          <w:rFonts w:ascii="Times New Roman" w:hAnsi="Times New Roman" w:cs="Times New Roman"/>
          <w:b/>
          <w:bCs/>
          <w:i/>
          <w:iCs/>
          <w:sz w:val="28"/>
          <w:szCs w:val="28"/>
        </w:rPr>
      </w:pPr>
      <w:bookmarkStart w:id="0" w:name="_Toc200976092"/>
      <w:bookmarkStart w:id="1" w:name="_Toc208393169"/>
      <w:r w:rsidRPr="00B60375">
        <w:rPr>
          <w:rFonts w:ascii="Times New Roman" w:hAnsi="Times New Roman" w:cs="Times New Roman"/>
          <w:b/>
          <w:bCs/>
          <w:i/>
          <w:iCs/>
          <w:sz w:val="28"/>
          <w:szCs w:val="28"/>
        </w:rPr>
        <w:t>Znaky veřejné podpory</w:t>
      </w:r>
      <w:bookmarkEnd w:id="0"/>
      <w:bookmarkEnd w:id="1"/>
    </w:p>
    <w:p w14:paraId="01B80BE2" w14:textId="77777777" w:rsidR="00B60375" w:rsidRPr="00DB045A" w:rsidRDefault="00B60375" w:rsidP="00B60375"/>
    <w:p w14:paraId="0CAC87AA" w14:textId="77777777" w:rsidR="00B60375" w:rsidRPr="00DB045A" w:rsidRDefault="00B60375" w:rsidP="00B60375">
      <w:pPr>
        <w:spacing w:line="276" w:lineRule="auto"/>
        <w:ind w:firstLine="708"/>
        <w:jc w:val="both"/>
        <w:rPr>
          <w:lang w:eastAsia="cs-CZ"/>
        </w:rPr>
      </w:pPr>
      <w:r>
        <w:rPr>
          <w:b/>
          <w:bCs/>
          <w:lang w:eastAsia="cs-CZ"/>
        </w:rPr>
        <w:t>1)</w:t>
      </w:r>
      <w:r w:rsidRPr="00DB045A">
        <w:rPr>
          <w:b/>
          <w:bCs/>
          <w:lang w:eastAsia="cs-CZ"/>
        </w:rPr>
        <w:t xml:space="preserve"> Podpora je poskytnuta státem nebo z veřejných prostředků </w:t>
      </w:r>
    </w:p>
    <w:p w14:paraId="51DD3ED4" w14:textId="77777777" w:rsidR="00B60375" w:rsidRPr="00DB045A" w:rsidRDefault="00B60375" w:rsidP="00B60375">
      <w:pPr>
        <w:spacing w:line="276" w:lineRule="auto"/>
        <w:jc w:val="both"/>
        <w:rPr>
          <w:lang w:eastAsia="cs-CZ"/>
        </w:rPr>
      </w:pPr>
      <w:r w:rsidRPr="00DB045A">
        <w:rPr>
          <w:lang w:eastAsia="cs-CZ"/>
        </w:rPr>
        <w:t>Pojem veřejné podpory se vztahuje na jakoukoli přímo či nepřímo poskytnutou výhodu financovanou ze státních</w:t>
      </w:r>
      <w:r>
        <w:rPr>
          <w:lang w:eastAsia="cs-CZ"/>
        </w:rPr>
        <w:t>/veřejných</w:t>
      </w:r>
      <w:r w:rsidRPr="00DB045A">
        <w:rPr>
          <w:lang w:eastAsia="cs-CZ"/>
        </w:rPr>
        <w:t xml:space="preserve"> prostředků. Evropské fondy se považují za státní prostředky. V programu Udržitelný turismus a posílení biodiverzity se jedná o financování ze státních nebo veřejných prostředků, tudíž je tento znak naplněn. </w:t>
      </w:r>
    </w:p>
    <w:p w14:paraId="2FC03315" w14:textId="77777777" w:rsidR="00B60375" w:rsidRPr="00DB045A" w:rsidRDefault="00B60375" w:rsidP="00B60375">
      <w:pPr>
        <w:spacing w:line="276" w:lineRule="auto"/>
        <w:jc w:val="both"/>
        <w:rPr>
          <w:lang w:eastAsia="cs-CZ"/>
        </w:rPr>
      </w:pPr>
    </w:p>
    <w:p w14:paraId="7B7482A5" w14:textId="77777777" w:rsidR="00B60375" w:rsidRPr="00DB045A" w:rsidRDefault="00B60375" w:rsidP="00B60375">
      <w:pPr>
        <w:spacing w:line="276" w:lineRule="auto"/>
        <w:ind w:firstLine="708"/>
        <w:jc w:val="both"/>
        <w:rPr>
          <w:lang w:eastAsia="cs-CZ"/>
        </w:rPr>
      </w:pPr>
      <w:r w:rsidRPr="00DB045A">
        <w:rPr>
          <w:b/>
          <w:bCs/>
          <w:lang w:eastAsia="cs-CZ"/>
        </w:rPr>
        <w:t>2</w:t>
      </w:r>
      <w:r>
        <w:rPr>
          <w:b/>
          <w:bCs/>
          <w:lang w:eastAsia="cs-CZ"/>
        </w:rPr>
        <w:t>)</w:t>
      </w:r>
      <w:r w:rsidRPr="00DB045A">
        <w:rPr>
          <w:b/>
          <w:bCs/>
          <w:lang w:eastAsia="cs-CZ"/>
        </w:rPr>
        <w:t xml:space="preserve"> Podpora zvýhodňuje určité podniky nebo odvětví podnikání a je selektivní </w:t>
      </w:r>
    </w:p>
    <w:p w14:paraId="3FC4E1DD" w14:textId="77777777" w:rsidR="00B60375" w:rsidRPr="00DB045A" w:rsidRDefault="00B60375" w:rsidP="00B60375">
      <w:pPr>
        <w:spacing w:line="276" w:lineRule="auto"/>
        <w:jc w:val="both"/>
        <w:rPr>
          <w:lang w:eastAsia="cs-CZ"/>
        </w:rPr>
      </w:pPr>
      <w:r w:rsidRPr="00DB045A">
        <w:rPr>
          <w:lang w:eastAsia="cs-CZ"/>
        </w:rPr>
        <w:t xml:space="preserve">V českém právním prostředí je podnikem jakákoliv fyzická nebo právnická osoba, jakékoliv sdružení nebo seskupení osob bez právní subjektivity, každý veřejný orgán, buď se samostatnou právní subjektivitou, nebo spadající pod orgán veřejné moci, který samostatnou právní subjektivitu má. Podstatné je, zda provozuje ekonomickou činnost, kterou se rozumí nabízení zboží nebo služeb na trhu. </w:t>
      </w:r>
    </w:p>
    <w:p w14:paraId="7F19A0BD" w14:textId="77777777" w:rsidR="00B60375" w:rsidRPr="00DB045A" w:rsidRDefault="00B60375" w:rsidP="00B60375">
      <w:pPr>
        <w:spacing w:line="276" w:lineRule="auto"/>
        <w:jc w:val="both"/>
        <w:rPr>
          <w:lang w:eastAsia="cs-CZ"/>
        </w:rPr>
      </w:pPr>
    </w:p>
    <w:p w14:paraId="1538817A" w14:textId="77777777" w:rsidR="00B60375" w:rsidRPr="00DB045A" w:rsidRDefault="00B60375" w:rsidP="00B60375">
      <w:pPr>
        <w:spacing w:line="276" w:lineRule="auto"/>
        <w:jc w:val="both"/>
        <w:rPr>
          <w:lang w:eastAsia="cs-CZ"/>
        </w:rPr>
      </w:pPr>
      <w:r w:rsidRPr="00DB045A">
        <w:rPr>
          <w:lang w:eastAsia="cs-CZ"/>
        </w:rPr>
        <w:t xml:space="preserve">Za podnik lze považovat i nestátní neziskové organizace, organizační složky státu a organizace jimi zřízené, územně samosprávné celky a organizace jimi zřízené, profesní komory, odborné organizace, entity bez právní subjektivity a další, protože i ty mohou vykonávat hospodářskou činnost. Rozhodující je, zda činnost, na kterou podpora směřuje, je činností ekonomickou, jejich právní forma není rozhodující. Pokud subjekt vykonává činnosti jak ekonomické, tak neekonomické, považuje se za podnik pouze v souvislosti s ekonomickými činnosti, na které podpora směřuje. </w:t>
      </w:r>
    </w:p>
    <w:p w14:paraId="33CBE0E4" w14:textId="77777777" w:rsidR="00B60375" w:rsidRPr="00DB045A" w:rsidRDefault="00B60375" w:rsidP="00B60375">
      <w:pPr>
        <w:spacing w:line="276" w:lineRule="auto"/>
        <w:jc w:val="both"/>
        <w:rPr>
          <w:lang w:eastAsia="cs-CZ"/>
        </w:rPr>
      </w:pPr>
    </w:p>
    <w:p w14:paraId="2F7F4DD1" w14:textId="77777777" w:rsidR="00B60375" w:rsidRPr="00DB045A" w:rsidRDefault="00B60375" w:rsidP="00B60375">
      <w:pPr>
        <w:spacing w:line="276" w:lineRule="auto"/>
        <w:jc w:val="both"/>
        <w:rPr>
          <w:lang w:eastAsia="cs-CZ"/>
        </w:rPr>
      </w:pPr>
      <w:r w:rsidRPr="00DB045A">
        <w:rPr>
          <w:lang w:eastAsia="cs-CZ"/>
        </w:rPr>
        <w:t>Zvýhodnění představuje stav, který by za běžných tržních podmínek nenastal. Ke zvýhodnění také dochází, když podpora snižuje náklady, které by musel příjemce platit ze svého rozpočtu. Selektivní podpora je poskytnutá podnikům či odvětvím a nejedná se o obecné opatření, např. snížení zdanění práce pro všechny firmy, daňové pobídky pro investice na ochranu životního prostředí. V případě regionální selektivity platí, že selektivní nejsou opatření použitelná plošně na území celého státu.</w:t>
      </w:r>
    </w:p>
    <w:p w14:paraId="41D90D3D" w14:textId="77777777" w:rsidR="00B60375" w:rsidRPr="00DB045A" w:rsidRDefault="00B60375" w:rsidP="00B60375">
      <w:pPr>
        <w:spacing w:line="276" w:lineRule="auto"/>
        <w:jc w:val="both"/>
        <w:rPr>
          <w:lang w:eastAsia="cs-CZ"/>
        </w:rPr>
      </w:pPr>
    </w:p>
    <w:p w14:paraId="3EDDAD7C" w14:textId="77777777" w:rsidR="00B60375" w:rsidRPr="00DB045A" w:rsidRDefault="00B60375" w:rsidP="00B60375">
      <w:pPr>
        <w:spacing w:line="276" w:lineRule="auto"/>
        <w:ind w:firstLine="708"/>
        <w:jc w:val="both"/>
        <w:rPr>
          <w:lang w:eastAsia="cs-CZ"/>
        </w:rPr>
      </w:pPr>
      <w:r w:rsidRPr="00DB045A">
        <w:rPr>
          <w:b/>
          <w:bCs/>
          <w:lang w:eastAsia="cs-CZ"/>
        </w:rPr>
        <w:t>3</w:t>
      </w:r>
      <w:r>
        <w:rPr>
          <w:b/>
          <w:bCs/>
          <w:lang w:eastAsia="cs-CZ"/>
        </w:rPr>
        <w:t>)</w:t>
      </w:r>
      <w:r w:rsidRPr="00DB045A">
        <w:rPr>
          <w:b/>
          <w:bCs/>
          <w:lang w:eastAsia="cs-CZ"/>
        </w:rPr>
        <w:t xml:space="preserve"> Je narušena soutěž nebo hrozí její narušení </w:t>
      </w:r>
    </w:p>
    <w:p w14:paraId="59553D18" w14:textId="77777777" w:rsidR="00B60375" w:rsidRDefault="00B60375" w:rsidP="00B60375">
      <w:pPr>
        <w:spacing w:line="276" w:lineRule="auto"/>
        <w:jc w:val="both"/>
        <w:rPr>
          <w:lang w:eastAsia="cs-CZ"/>
        </w:rPr>
      </w:pPr>
      <w:r w:rsidRPr="00DB045A">
        <w:rPr>
          <w:lang w:eastAsia="cs-CZ"/>
        </w:rPr>
        <w:t xml:space="preserve">K naplnění tohoto znaku stačí možnost narušení soutěže, nikoliv její faktické narušení. Soutěž je narušena, pokud opatření posílí postavení příjemce podpory nebo jiný subjekt oproti jeho konkurentům. Narušení soutěže se předpokládá, pokud opatření snižuje přijímacímu podniku náklady na jeho každodenní činnosti. Podmínka „Narušení nebo hrozba narušení hospodářské soutěže“ je zpravidla naplněna, pokud lze žadatele a příjemce podpory označit za podnikatelský subjekt. </w:t>
      </w:r>
    </w:p>
    <w:p w14:paraId="1C9EC519" w14:textId="77777777" w:rsidR="00A05456" w:rsidRPr="00DB045A" w:rsidRDefault="00A05456" w:rsidP="00B60375">
      <w:pPr>
        <w:spacing w:line="276" w:lineRule="auto"/>
        <w:jc w:val="both"/>
        <w:rPr>
          <w:lang w:eastAsia="cs-CZ"/>
        </w:rPr>
      </w:pPr>
    </w:p>
    <w:p w14:paraId="799E04D8" w14:textId="77777777" w:rsidR="00B60375" w:rsidRPr="00DB045A" w:rsidRDefault="00B60375" w:rsidP="00B60375">
      <w:pPr>
        <w:spacing w:line="276" w:lineRule="auto"/>
        <w:ind w:firstLine="708"/>
        <w:jc w:val="both"/>
        <w:rPr>
          <w:lang w:eastAsia="cs-CZ"/>
        </w:rPr>
      </w:pPr>
      <w:r w:rsidRPr="00DB045A">
        <w:rPr>
          <w:b/>
          <w:bCs/>
          <w:lang w:eastAsia="cs-CZ"/>
        </w:rPr>
        <w:t>4</w:t>
      </w:r>
      <w:r>
        <w:rPr>
          <w:b/>
          <w:bCs/>
          <w:lang w:eastAsia="cs-CZ"/>
        </w:rPr>
        <w:t>)</w:t>
      </w:r>
      <w:r w:rsidRPr="00DB045A">
        <w:rPr>
          <w:b/>
          <w:bCs/>
          <w:lang w:eastAsia="cs-CZ"/>
        </w:rPr>
        <w:t xml:space="preserve"> Je ovlivněn obchod mezi členskými státy </w:t>
      </w:r>
    </w:p>
    <w:p w14:paraId="3E2CDDD6" w14:textId="77777777" w:rsidR="00B60375" w:rsidRPr="00DB045A" w:rsidRDefault="00B60375" w:rsidP="00B60375">
      <w:pPr>
        <w:spacing w:line="276" w:lineRule="auto"/>
        <w:jc w:val="both"/>
        <w:rPr>
          <w:lang w:eastAsia="cs-CZ"/>
        </w:rPr>
      </w:pPr>
      <w:r w:rsidRPr="00DB045A">
        <w:rPr>
          <w:lang w:eastAsia="cs-CZ"/>
        </w:rPr>
        <w:t xml:space="preserve">Není stanovena hranice, kdy opatření ovlivňuje obchod mezi členskými státy, protože i malá částka veřejné podpory může ovlivnit trh mezi členskými státy. K ovlivnění obchodu zpravidla nedochází, pokud předmět opatření působí lokálně (regionálně) či příjemci podporovaných služeb pocházejí pouze z jednoho členského státu. </w:t>
      </w:r>
    </w:p>
    <w:p w14:paraId="5A472EE3" w14:textId="77777777" w:rsidR="00B60375" w:rsidRPr="00DB045A" w:rsidRDefault="00B60375" w:rsidP="00B60375">
      <w:pPr>
        <w:spacing w:line="276" w:lineRule="auto"/>
        <w:jc w:val="both"/>
        <w:rPr>
          <w:lang w:eastAsia="cs-CZ"/>
        </w:rPr>
      </w:pPr>
    </w:p>
    <w:p w14:paraId="77DE93A0" w14:textId="77777777" w:rsidR="00B60375" w:rsidRPr="00DB045A" w:rsidRDefault="00B60375" w:rsidP="00B60375">
      <w:pPr>
        <w:spacing w:line="276" w:lineRule="auto"/>
        <w:jc w:val="both"/>
        <w:rPr>
          <w:lang w:eastAsia="cs-CZ"/>
        </w:rPr>
      </w:pPr>
      <w:r w:rsidRPr="00DB045A">
        <w:rPr>
          <w:lang w:eastAsia="cs-CZ"/>
        </w:rPr>
        <w:t xml:space="preserve">Rozhodování o lokálnosti opatření je založeno na: </w:t>
      </w:r>
    </w:p>
    <w:p w14:paraId="30D2672C" w14:textId="77777777" w:rsidR="00B60375" w:rsidRPr="00DB045A" w:rsidRDefault="00B60375" w:rsidP="00B60375">
      <w:pPr>
        <w:numPr>
          <w:ilvl w:val="0"/>
          <w:numId w:val="2"/>
        </w:numPr>
        <w:spacing w:line="276" w:lineRule="auto"/>
        <w:ind w:left="709" w:hanging="284"/>
        <w:jc w:val="both"/>
        <w:rPr>
          <w:lang w:eastAsia="cs-CZ"/>
        </w:rPr>
      </w:pPr>
      <w:r w:rsidRPr="00DB045A">
        <w:rPr>
          <w:lang w:eastAsia="cs-CZ"/>
        </w:rPr>
        <w:t xml:space="preserve">otázce blízkosti hranic (spádovost, vliv na přeshraniční investice, možnost usazování podniků, příslušnost k širší skupině podniků); </w:t>
      </w:r>
    </w:p>
    <w:p w14:paraId="12CCDB2E" w14:textId="77777777" w:rsidR="00B60375" w:rsidRPr="00DB045A" w:rsidRDefault="00B60375" w:rsidP="00B60375">
      <w:pPr>
        <w:numPr>
          <w:ilvl w:val="0"/>
          <w:numId w:val="2"/>
        </w:numPr>
        <w:spacing w:line="276" w:lineRule="auto"/>
        <w:ind w:left="709" w:hanging="284"/>
        <w:jc w:val="both"/>
        <w:rPr>
          <w:lang w:eastAsia="cs-CZ"/>
        </w:rPr>
      </w:pPr>
      <w:r w:rsidRPr="00DB045A">
        <w:rPr>
          <w:lang w:eastAsia="cs-CZ"/>
        </w:rPr>
        <w:t xml:space="preserve">povědomí o podpořených zařízeních v zahraničí (unikátnost, inzerce v zahraničních médiích, možnost volby); </w:t>
      </w:r>
    </w:p>
    <w:p w14:paraId="58011F2B" w14:textId="77777777" w:rsidR="00B60375" w:rsidRPr="00DB045A" w:rsidRDefault="00B60375" w:rsidP="00B60375">
      <w:pPr>
        <w:numPr>
          <w:ilvl w:val="0"/>
          <w:numId w:val="2"/>
        </w:numPr>
        <w:spacing w:line="276" w:lineRule="auto"/>
        <w:ind w:left="709" w:hanging="284"/>
        <w:jc w:val="both"/>
        <w:rPr>
          <w:lang w:eastAsia="cs-CZ"/>
        </w:rPr>
      </w:pPr>
      <w:r w:rsidRPr="00DB045A">
        <w:rPr>
          <w:lang w:eastAsia="cs-CZ"/>
        </w:rPr>
        <w:t xml:space="preserve">využití místního jazyka (služby poskytované v rodném jazyce, propagace v rodném jazyce), místní klientely. </w:t>
      </w:r>
    </w:p>
    <w:p w14:paraId="3E159BF3" w14:textId="77777777" w:rsidR="00B60375" w:rsidRPr="00DB045A" w:rsidRDefault="00B60375" w:rsidP="00B60375">
      <w:pPr>
        <w:spacing w:line="276" w:lineRule="auto"/>
        <w:ind w:left="709"/>
        <w:jc w:val="both"/>
        <w:rPr>
          <w:lang w:eastAsia="cs-CZ"/>
        </w:rPr>
      </w:pPr>
    </w:p>
    <w:p w14:paraId="5E0C7F42" w14:textId="77777777" w:rsidR="00B60375" w:rsidRPr="00DB045A" w:rsidRDefault="00B60375" w:rsidP="00B60375">
      <w:pPr>
        <w:spacing w:line="276" w:lineRule="auto"/>
        <w:jc w:val="both"/>
        <w:rPr>
          <w:lang w:eastAsia="cs-CZ"/>
        </w:rPr>
      </w:pPr>
      <w:r w:rsidRPr="00DB045A">
        <w:rPr>
          <w:lang w:eastAsia="cs-CZ"/>
        </w:rPr>
        <w:t xml:space="preserve">Pomůckou pro určení, zda činnost ovlivňuje obchod mezi členskými státy EU, může být rozhodovací praxe orgánů EU: </w:t>
      </w:r>
    </w:p>
    <w:p w14:paraId="207AF9D8" w14:textId="77777777" w:rsidR="00B60375" w:rsidRPr="00DB045A" w:rsidRDefault="00B60375" w:rsidP="00B60375">
      <w:pPr>
        <w:numPr>
          <w:ilvl w:val="0"/>
          <w:numId w:val="3"/>
        </w:numPr>
        <w:spacing w:line="276" w:lineRule="auto"/>
        <w:ind w:left="709" w:hanging="284"/>
        <w:jc w:val="both"/>
        <w:rPr>
          <w:lang w:eastAsia="cs-CZ"/>
        </w:rPr>
      </w:pPr>
      <w:r w:rsidRPr="00DB045A">
        <w:rPr>
          <w:lang w:eastAsia="cs-CZ"/>
        </w:rPr>
        <w:t xml:space="preserve">ekonomická činnost příjemce veřejné podpory je lokálního charakteru a produkované zboží nebo služby jsou relevantní jen pro ohraničenou geografickou oblast; </w:t>
      </w:r>
    </w:p>
    <w:p w14:paraId="28CF9868" w14:textId="77777777" w:rsidR="00B60375" w:rsidRPr="00DB045A" w:rsidRDefault="00B60375" w:rsidP="00B60375">
      <w:pPr>
        <w:numPr>
          <w:ilvl w:val="0"/>
          <w:numId w:val="3"/>
        </w:numPr>
        <w:spacing w:line="276" w:lineRule="auto"/>
        <w:ind w:left="709" w:hanging="284"/>
        <w:jc w:val="both"/>
        <w:rPr>
          <w:lang w:eastAsia="cs-CZ"/>
        </w:rPr>
      </w:pPr>
      <w:r w:rsidRPr="00DB045A">
        <w:rPr>
          <w:lang w:eastAsia="cs-CZ"/>
        </w:rPr>
        <w:t xml:space="preserve">opatření nepřitahuje do dotčeného regionu zájem investorů z jiných členských zemí; </w:t>
      </w:r>
    </w:p>
    <w:p w14:paraId="3F168574" w14:textId="77777777" w:rsidR="00B60375" w:rsidRPr="00DB045A" w:rsidRDefault="00B60375" w:rsidP="00B60375">
      <w:pPr>
        <w:numPr>
          <w:ilvl w:val="0"/>
          <w:numId w:val="3"/>
        </w:numPr>
        <w:spacing w:line="276" w:lineRule="auto"/>
        <w:ind w:left="709" w:hanging="284"/>
        <w:jc w:val="both"/>
        <w:rPr>
          <w:lang w:eastAsia="cs-CZ"/>
        </w:rPr>
      </w:pPr>
      <w:r w:rsidRPr="00DB045A">
        <w:rPr>
          <w:lang w:eastAsia="cs-CZ"/>
        </w:rPr>
        <w:t xml:space="preserve">spotřebitelé v okolních členských státech nejsou realizací opatření významně ovlivněni; </w:t>
      </w:r>
    </w:p>
    <w:p w14:paraId="5E0A8B68" w14:textId="77777777" w:rsidR="00B60375" w:rsidRPr="00DB045A" w:rsidRDefault="00B60375" w:rsidP="00B60375">
      <w:pPr>
        <w:numPr>
          <w:ilvl w:val="0"/>
          <w:numId w:val="3"/>
        </w:numPr>
        <w:spacing w:line="276" w:lineRule="auto"/>
        <w:ind w:left="709" w:hanging="284"/>
        <w:jc w:val="both"/>
        <w:rPr>
          <w:lang w:eastAsia="cs-CZ"/>
        </w:rPr>
      </w:pPr>
      <w:r w:rsidRPr="00DB045A">
        <w:rPr>
          <w:lang w:eastAsia="cs-CZ"/>
        </w:rPr>
        <w:t xml:space="preserve">příjemce veřejné podpory má minimální tržní podíl. </w:t>
      </w:r>
    </w:p>
    <w:p w14:paraId="5592ED92" w14:textId="77777777" w:rsidR="00B60375" w:rsidRPr="00DB045A" w:rsidRDefault="00B60375" w:rsidP="00B60375">
      <w:pPr>
        <w:spacing w:line="276" w:lineRule="auto"/>
        <w:jc w:val="both"/>
        <w:rPr>
          <w:lang w:eastAsia="cs-CZ"/>
        </w:rPr>
      </w:pPr>
    </w:p>
    <w:p w14:paraId="00B0DD40" w14:textId="77777777" w:rsidR="00B60375" w:rsidRPr="00DB045A" w:rsidRDefault="00B60375" w:rsidP="00B60375">
      <w:pPr>
        <w:spacing w:line="276" w:lineRule="auto"/>
        <w:jc w:val="both"/>
        <w:rPr>
          <w:lang w:eastAsia="cs-CZ"/>
        </w:rPr>
      </w:pPr>
      <w:r w:rsidRPr="00DB045A">
        <w:rPr>
          <w:lang w:eastAsia="cs-CZ"/>
        </w:rPr>
        <w:t xml:space="preserve">Skutečný dopad na obchod mezi členskými státy není třeba prokazovat, stačí opodstatněný předpoklad. Zohledňuje se i nepřímý dopad, např. pro společnosti z jiných členských států může být obtížnější prodávat jejich výrobky nebo vstoupit na určitý trh. </w:t>
      </w:r>
    </w:p>
    <w:p w14:paraId="1C24803F" w14:textId="77777777" w:rsidR="00B60375" w:rsidRPr="00DB045A" w:rsidRDefault="00B60375" w:rsidP="00B60375">
      <w:pPr>
        <w:spacing w:line="276" w:lineRule="auto"/>
        <w:jc w:val="both"/>
        <w:rPr>
          <w:lang w:eastAsia="cs-CZ"/>
        </w:rPr>
      </w:pPr>
      <w:r w:rsidRPr="00DB045A">
        <w:rPr>
          <w:lang w:eastAsia="cs-CZ"/>
        </w:rPr>
        <w:t xml:space="preserve">Pokud je výhoda poskytnuta podniku aktivnímu na trhu, který je otevřený konkurenci, předpokládá se, že může dojít k ovlivnění obchodu mezi členskými státy. Je nezbytné každý případ posuzovat individuálně ve vztahu k naplnění definičních znaků. </w:t>
      </w:r>
    </w:p>
    <w:p w14:paraId="3F58B9DE" w14:textId="77777777" w:rsidR="00B60375" w:rsidRPr="00DB045A" w:rsidRDefault="00B60375" w:rsidP="00B60375">
      <w:pPr>
        <w:spacing w:line="276" w:lineRule="auto"/>
        <w:jc w:val="both"/>
        <w:rPr>
          <w:lang w:eastAsia="cs-CZ"/>
        </w:rPr>
      </w:pPr>
    </w:p>
    <w:p w14:paraId="49DF5BD7" w14:textId="77777777" w:rsidR="00B60375" w:rsidRPr="00DB045A" w:rsidRDefault="00B60375" w:rsidP="00B60375">
      <w:pPr>
        <w:pBdr>
          <w:top w:val="single" w:sz="4" w:space="1" w:color="auto"/>
          <w:left w:val="single" w:sz="4" w:space="4" w:color="auto"/>
          <w:bottom w:val="single" w:sz="4" w:space="1" w:color="auto"/>
          <w:right w:val="single" w:sz="4" w:space="4" w:color="auto"/>
        </w:pBdr>
        <w:spacing w:line="276" w:lineRule="auto"/>
        <w:jc w:val="both"/>
        <w:rPr>
          <w:i/>
          <w:iCs/>
          <w:lang w:eastAsia="cs-CZ"/>
        </w:rPr>
      </w:pPr>
      <w:r w:rsidRPr="00DB045A">
        <w:rPr>
          <w:b/>
          <w:bCs/>
          <w:i/>
          <w:iCs/>
          <w:lang w:eastAsia="cs-CZ"/>
        </w:rPr>
        <w:t>Projekty, které nezakládají veřejnou podporu</w:t>
      </w:r>
      <w:r w:rsidRPr="00DB045A">
        <w:rPr>
          <w:i/>
          <w:iCs/>
          <w:lang w:eastAsia="cs-CZ"/>
        </w:rPr>
        <w:t xml:space="preserve">, přinášejí veřejný prospěch celé společnosti, nejsou ziskové a neovlivňují konkurenci, mohou být podpořeny do maximální výše dotace. </w:t>
      </w:r>
    </w:p>
    <w:p w14:paraId="18D335B4" w14:textId="77777777" w:rsidR="00B60375" w:rsidRPr="00DB045A" w:rsidRDefault="00B60375" w:rsidP="00B60375">
      <w:pPr>
        <w:pBdr>
          <w:top w:val="single" w:sz="4" w:space="1" w:color="auto"/>
          <w:left w:val="single" w:sz="4" w:space="4" w:color="auto"/>
          <w:bottom w:val="single" w:sz="4" w:space="1" w:color="auto"/>
          <w:right w:val="single" w:sz="4" w:space="4" w:color="auto"/>
        </w:pBdr>
        <w:spacing w:line="276" w:lineRule="auto"/>
        <w:jc w:val="both"/>
        <w:rPr>
          <w:i/>
          <w:iCs/>
          <w:lang w:eastAsia="cs-CZ"/>
        </w:rPr>
      </w:pPr>
    </w:p>
    <w:p w14:paraId="79BFF1C2" w14:textId="77777777" w:rsidR="00B60375" w:rsidRPr="00DB045A" w:rsidRDefault="00B60375" w:rsidP="00B60375">
      <w:pPr>
        <w:pBdr>
          <w:top w:val="single" w:sz="4" w:space="1" w:color="auto"/>
          <w:left w:val="single" w:sz="4" w:space="4" w:color="auto"/>
          <w:bottom w:val="single" w:sz="4" w:space="1" w:color="auto"/>
          <w:right w:val="single" w:sz="4" w:space="4" w:color="auto"/>
        </w:pBdr>
        <w:spacing w:line="276" w:lineRule="auto"/>
        <w:jc w:val="both"/>
        <w:rPr>
          <w:i/>
          <w:iCs/>
          <w:lang w:eastAsia="cs-CZ"/>
        </w:rPr>
      </w:pPr>
      <w:r w:rsidRPr="00DB045A">
        <w:rPr>
          <w:b/>
          <w:bCs/>
          <w:i/>
          <w:iCs/>
          <w:lang w:eastAsia="cs-CZ"/>
        </w:rPr>
        <w:t>Projekty zakládající veřejnou podporu</w:t>
      </w:r>
      <w:r w:rsidRPr="00DB045A">
        <w:rPr>
          <w:i/>
          <w:iCs/>
          <w:lang w:eastAsia="cs-CZ"/>
        </w:rPr>
        <w:t xml:space="preserve"> splnily všechny znaky veřejné podpory současně.</w:t>
      </w:r>
    </w:p>
    <w:p w14:paraId="53AAA898" w14:textId="77777777" w:rsidR="00B60375" w:rsidRPr="00DB045A" w:rsidRDefault="00B60375" w:rsidP="00B60375">
      <w:pPr>
        <w:pBdr>
          <w:top w:val="single" w:sz="4" w:space="1" w:color="auto"/>
          <w:left w:val="single" w:sz="4" w:space="4" w:color="auto"/>
          <w:bottom w:val="single" w:sz="4" w:space="1" w:color="auto"/>
          <w:right w:val="single" w:sz="4" w:space="4" w:color="auto"/>
        </w:pBdr>
        <w:spacing w:line="276" w:lineRule="auto"/>
        <w:jc w:val="both"/>
        <w:rPr>
          <w:lang w:eastAsia="cs-CZ"/>
        </w:rPr>
      </w:pPr>
    </w:p>
    <w:p w14:paraId="5512B8A4" w14:textId="77777777" w:rsidR="00B60375" w:rsidRPr="00DB045A" w:rsidRDefault="00B60375" w:rsidP="00B60375">
      <w:pPr>
        <w:spacing w:line="276" w:lineRule="auto"/>
        <w:jc w:val="both"/>
        <w:rPr>
          <w:b/>
          <w:bCs/>
          <w:lang w:eastAsia="cs-CZ"/>
        </w:rPr>
      </w:pPr>
    </w:p>
    <w:p w14:paraId="4A425B39" w14:textId="77777777" w:rsidR="00B60375" w:rsidRPr="00B60375" w:rsidRDefault="00B60375" w:rsidP="00B60375">
      <w:pPr>
        <w:pStyle w:val="Nadpis2"/>
        <w:numPr>
          <w:ilvl w:val="0"/>
          <w:numId w:val="17"/>
        </w:numPr>
        <w:tabs>
          <w:tab w:val="num" w:pos="360"/>
        </w:tabs>
        <w:spacing w:line="276" w:lineRule="auto"/>
        <w:jc w:val="both"/>
        <w:rPr>
          <w:rFonts w:ascii="Times New Roman" w:hAnsi="Times New Roman" w:cs="Times New Roman"/>
          <w:b/>
          <w:bCs/>
          <w:i/>
          <w:iCs/>
          <w:sz w:val="28"/>
          <w:szCs w:val="28"/>
        </w:rPr>
      </w:pPr>
      <w:bookmarkStart w:id="2" w:name="_Toc200976093"/>
      <w:bookmarkStart w:id="3" w:name="_Toc208393170"/>
      <w:r w:rsidRPr="00B60375">
        <w:rPr>
          <w:rFonts w:ascii="Times New Roman" w:hAnsi="Times New Roman" w:cs="Times New Roman"/>
          <w:b/>
          <w:bCs/>
          <w:i/>
          <w:iCs/>
          <w:sz w:val="28"/>
          <w:szCs w:val="28"/>
        </w:rPr>
        <w:t>Přípustné varianty řešení podpory</w:t>
      </w:r>
      <w:bookmarkEnd w:id="2"/>
      <w:bookmarkEnd w:id="3"/>
    </w:p>
    <w:p w14:paraId="6EB265E8" w14:textId="77777777" w:rsidR="00B60375" w:rsidRPr="00DB045A" w:rsidRDefault="00B60375" w:rsidP="00B60375">
      <w:pPr>
        <w:spacing w:line="276" w:lineRule="auto"/>
        <w:jc w:val="both"/>
        <w:rPr>
          <w:lang w:eastAsia="cs-CZ"/>
        </w:rPr>
      </w:pPr>
    </w:p>
    <w:p w14:paraId="4CFC6B11" w14:textId="00177606" w:rsidR="00B60375" w:rsidRPr="00DB045A" w:rsidRDefault="00B60375" w:rsidP="00B60375">
      <w:pPr>
        <w:spacing w:line="276" w:lineRule="auto"/>
        <w:jc w:val="both"/>
        <w:rPr>
          <w:lang w:eastAsia="cs-CZ"/>
        </w:rPr>
      </w:pPr>
      <w:r w:rsidRPr="00DB045A">
        <w:rPr>
          <w:lang w:eastAsia="cs-CZ"/>
        </w:rPr>
        <w:t xml:space="preserve">Výzva připouští </w:t>
      </w:r>
      <w:r w:rsidR="007F5038">
        <w:rPr>
          <w:lang w:eastAsia="cs-CZ"/>
        </w:rPr>
        <w:t>dvě</w:t>
      </w:r>
      <w:r w:rsidRPr="00DB045A">
        <w:rPr>
          <w:lang w:eastAsia="cs-CZ"/>
        </w:rPr>
        <w:t xml:space="preserve"> varianty řešení poskytnutí podpory, přičemž žadatel o podporu si pro svůj projekt vybere jednu z nich. Výběr více variant pro jeden projekt není možný. Podpora v rámci výzvy může být poskytována pouze v souladu s předpisy upravujícími veřejnou podporu.</w:t>
      </w:r>
    </w:p>
    <w:p w14:paraId="0AA459B3" w14:textId="77777777" w:rsidR="00B60375" w:rsidRDefault="00B60375" w:rsidP="00B60375">
      <w:pPr>
        <w:spacing w:line="276" w:lineRule="auto"/>
        <w:jc w:val="both"/>
        <w:rPr>
          <w:lang w:eastAsia="cs-CZ"/>
        </w:rPr>
      </w:pPr>
    </w:p>
    <w:p w14:paraId="3FED3D70" w14:textId="77777777" w:rsidR="00A05456" w:rsidRDefault="00A05456" w:rsidP="00B60375">
      <w:pPr>
        <w:spacing w:line="276" w:lineRule="auto"/>
        <w:jc w:val="both"/>
        <w:rPr>
          <w:lang w:eastAsia="cs-CZ"/>
        </w:rPr>
      </w:pPr>
    </w:p>
    <w:p w14:paraId="350B0E0B" w14:textId="77777777" w:rsidR="00A05456" w:rsidRPr="00DB045A" w:rsidRDefault="00A05456" w:rsidP="00B60375">
      <w:pPr>
        <w:spacing w:line="276" w:lineRule="auto"/>
        <w:jc w:val="both"/>
        <w:rPr>
          <w:lang w:eastAsia="cs-CZ"/>
        </w:rPr>
      </w:pPr>
    </w:p>
    <w:p w14:paraId="5E11D86E" w14:textId="77777777" w:rsidR="00B60375" w:rsidRPr="00DB045A" w:rsidRDefault="00B60375" w:rsidP="00B60375">
      <w:pPr>
        <w:pStyle w:val="Odstavecseseznamem"/>
        <w:numPr>
          <w:ilvl w:val="0"/>
          <w:numId w:val="4"/>
        </w:numPr>
        <w:spacing w:line="276" w:lineRule="auto"/>
        <w:contextualSpacing w:val="0"/>
        <w:jc w:val="both"/>
      </w:pPr>
      <w:r w:rsidRPr="00DB045A">
        <w:t>Projekt nezakládá veřejnou podporu</w:t>
      </w:r>
    </w:p>
    <w:p w14:paraId="6DA8DAD6" w14:textId="093AD0F6" w:rsidR="00B60375" w:rsidRPr="00DB045A" w:rsidRDefault="00B60375" w:rsidP="00E81916">
      <w:pPr>
        <w:pStyle w:val="Odstavecseseznamem"/>
        <w:spacing w:line="276" w:lineRule="auto"/>
        <w:contextualSpacing w:val="0"/>
        <w:jc w:val="both"/>
      </w:pPr>
    </w:p>
    <w:p w14:paraId="01E02CA5" w14:textId="77777777" w:rsidR="00B60375" w:rsidRPr="00DB045A" w:rsidRDefault="00B60375" w:rsidP="00B60375">
      <w:pPr>
        <w:pStyle w:val="Odstavecseseznamem"/>
        <w:numPr>
          <w:ilvl w:val="0"/>
          <w:numId w:val="4"/>
        </w:numPr>
        <w:spacing w:line="276" w:lineRule="auto"/>
        <w:contextualSpacing w:val="0"/>
        <w:jc w:val="both"/>
      </w:pPr>
      <w:r w:rsidRPr="00DB045A">
        <w:t>Podpora v režimu de minimis</w:t>
      </w:r>
    </w:p>
    <w:p w14:paraId="101D74CF" w14:textId="77777777" w:rsidR="00B60375" w:rsidRPr="00DB045A" w:rsidRDefault="00B60375" w:rsidP="00B60375">
      <w:pPr>
        <w:spacing w:line="276" w:lineRule="auto"/>
        <w:jc w:val="both"/>
        <w:rPr>
          <w:b/>
          <w:bCs/>
          <w:lang w:eastAsia="cs-CZ"/>
        </w:rPr>
      </w:pPr>
    </w:p>
    <w:p w14:paraId="5516EBE3" w14:textId="77777777" w:rsidR="00B60375" w:rsidRPr="005317A0" w:rsidRDefault="00B60375" w:rsidP="00B60375">
      <w:pPr>
        <w:pStyle w:val="Nadpis3"/>
        <w:spacing w:line="276" w:lineRule="auto"/>
        <w:rPr>
          <w:rFonts w:cs="Times New Roman"/>
        </w:rPr>
      </w:pPr>
      <w:bookmarkStart w:id="4" w:name="_Toc200976094"/>
      <w:bookmarkStart w:id="5" w:name="_Toc208393171"/>
      <w:r>
        <w:rPr>
          <w:rFonts w:cs="Times New Roman"/>
        </w:rPr>
        <w:t xml:space="preserve">2.1 </w:t>
      </w:r>
      <w:r w:rsidRPr="005317A0">
        <w:rPr>
          <w:rFonts w:cs="Times New Roman"/>
        </w:rPr>
        <w:t>Projekty nezakládající veřejnou podporu ve smyslu čl. 107 odst. 1 Smlouvy o fungování Evropské unie</w:t>
      </w:r>
      <w:bookmarkEnd w:id="4"/>
      <w:bookmarkEnd w:id="5"/>
      <w:r w:rsidRPr="005317A0">
        <w:rPr>
          <w:rFonts w:cs="Times New Roman"/>
        </w:rPr>
        <w:t xml:space="preserve"> </w:t>
      </w:r>
    </w:p>
    <w:p w14:paraId="6B644744" w14:textId="77777777" w:rsidR="00B60375" w:rsidRPr="00DB045A" w:rsidRDefault="00B60375" w:rsidP="00B60375">
      <w:pPr>
        <w:pStyle w:val="Default"/>
        <w:rPr>
          <w:rFonts w:ascii="Times New Roman" w:eastAsia="SimSun" w:hAnsi="Times New Roman" w:cs="Times New Roman"/>
          <w:color w:val="auto"/>
          <w:lang w:eastAsia="cs-CZ"/>
        </w:rPr>
      </w:pPr>
    </w:p>
    <w:p w14:paraId="010EF9D0" w14:textId="77777777" w:rsidR="00B60375" w:rsidRPr="00DB045A" w:rsidRDefault="00B60375" w:rsidP="00B60375">
      <w:pPr>
        <w:pStyle w:val="Default"/>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 xml:space="preserve">Veřejná podpora bude v projektu vyloučena, pokud projekt nebude naplňovat alespoň jeden z následujících definičních znaků veřejné podpory: </w:t>
      </w:r>
    </w:p>
    <w:p w14:paraId="369248A6" w14:textId="77777777" w:rsidR="00B60375" w:rsidRPr="00DB045A" w:rsidRDefault="00B60375" w:rsidP="00B60375">
      <w:pPr>
        <w:pStyle w:val="Default"/>
        <w:numPr>
          <w:ilvl w:val="0"/>
          <w:numId w:val="5"/>
        </w:numPr>
        <w:spacing w:after="63"/>
        <w:ind w:left="426"/>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 xml:space="preserve">zatížení veřejných rozpočtů (zdrojů); </w:t>
      </w:r>
    </w:p>
    <w:p w14:paraId="24F9E8F7" w14:textId="77777777" w:rsidR="00B60375" w:rsidRPr="00DB045A" w:rsidRDefault="00B60375" w:rsidP="00B60375">
      <w:pPr>
        <w:pStyle w:val="Default"/>
        <w:numPr>
          <w:ilvl w:val="0"/>
          <w:numId w:val="5"/>
        </w:numPr>
        <w:spacing w:after="63"/>
        <w:ind w:left="426"/>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 xml:space="preserve">zvýhodnění určitého podniku či odvětví; </w:t>
      </w:r>
    </w:p>
    <w:p w14:paraId="226B16D0" w14:textId="77777777" w:rsidR="00B60375" w:rsidRPr="00DB045A" w:rsidRDefault="00B60375" w:rsidP="00B60375">
      <w:pPr>
        <w:pStyle w:val="Default"/>
        <w:numPr>
          <w:ilvl w:val="0"/>
          <w:numId w:val="5"/>
        </w:numPr>
        <w:spacing w:after="63"/>
        <w:ind w:left="426"/>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 xml:space="preserve">možné narušení soutěže na vnitřním trhu EU; </w:t>
      </w:r>
    </w:p>
    <w:p w14:paraId="0156DD31" w14:textId="77777777" w:rsidR="00B60375" w:rsidRPr="00DB045A" w:rsidRDefault="00B60375" w:rsidP="00B60375">
      <w:pPr>
        <w:pStyle w:val="Default"/>
        <w:numPr>
          <w:ilvl w:val="0"/>
          <w:numId w:val="5"/>
        </w:numPr>
        <w:ind w:left="426"/>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 xml:space="preserve">možné ovlivnění obchodu mezi státy EU. </w:t>
      </w:r>
    </w:p>
    <w:p w14:paraId="7C705A0B" w14:textId="77777777" w:rsidR="00B60375" w:rsidRPr="00DB045A" w:rsidRDefault="00B60375" w:rsidP="00B60375">
      <w:pPr>
        <w:pStyle w:val="Default"/>
        <w:rPr>
          <w:rFonts w:ascii="Times New Roman" w:eastAsia="SimSun" w:hAnsi="Times New Roman" w:cs="Times New Roman"/>
          <w:color w:val="auto"/>
          <w:lang w:eastAsia="cs-CZ"/>
        </w:rPr>
      </w:pPr>
    </w:p>
    <w:p w14:paraId="7D3B4F81" w14:textId="77777777" w:rsidR="00B60375" w:rsidRPr="00DB045A" w:rsidRDefault="00B60375" w:rsidP="00B60375">
      <w:pPr>
        <w:spacing w:line="276" w:lineRule="auto"/>
        <w:jc w:val="both"/>
        <w:rPr>
          <w:lang w:eastAsia="cs-CZ"/>
        </w:rPr>
      </w:pPr>
      <w:r w:rsidRPr="00DB045A">
        <w:rPr>
          <w:lang w:eastAsia="cs-CZ"/>
        </w:rPr>
        <w:t>V případě, že podpora směřuje pouze do neekonomických činností žadatele, může být podpořená infrastruktura v relevantních případech využita rovněž pro jeho ekonomické činnosti, pokud ovšem tato činnost nepřesáhne 20 % celkové roční kapacity podpořené infrastruktury, nejenom jako funkčního celku, ale i dílčích výstupů projektu.</w:t>
      </w:r>
    </w:p>
    <w:p w14:paraId="29BECB15" w14:textId="77777777" w:rsidR="00B60375" w:rsidRDefault="00B60375" w:rsidP="00B60375">
      <w:pPr>
        <w:pStyle w:val="Default"/>
        <w:jc w:val="both"/>
        <w:rPr>
          <w:rFonts w:ascii="Times New Roman" w:hAnsi="Times New Roman" w:cs="Times New Roman"/>
        </w:rPr>
      </w:pPr>
    </w:p>
    <w:p w14:paraId="65302D63" w14:textId="6F2CAAFA" w:rsidR="00B60375" w:rsidRPr="00D04853" w:rsidRDefault="00B60375" w:rsidP="00B60375">
      <w:pPr>
        <w:pStyle w:val="Nadpis3"/>
        <w:spacing w:line="276" w:lineRule="auto"/>
        <w:rPr>
          <w:rFonts w:cs="Times New Roman"/>
        </w:rPr>
      </w:pPr>
      <w:bookmarkStart w:id="6" w:name="_Toc200976096"/>
      <w:bookmarkStart w:id="7" w:name="_Toc208393173"/>
      <w:r>
        <w:rPr>
          <w:rFonts w:cs="Times New Roman"/>
        </w:rPr>
        <w:t>2.</w:t>
      </w:r>
      <w:r w:rsidR="00E318F7">
        <w:rPr>
          <w:rFonts w:cs="Times New Roman"/>
        </w:rPr>
        <w:t>2</w:t>
      </w:r>
      <w:r>
        <w:rPr>
          <w:rFonts w:cs="Times New Roman"/>
        </w:rPr>
        <w:t xml:space="preserve"> </w:t>
      </w:r>
      <w:r w:rsidRPr="00DB045A">
        <w:rPr>
          <w:rFonts w:cs="Times New Roman"/>
        </w:rPr>
        <w:t>Podpora de minimis</w:t>
      </w:r>
      <w:r w:rsidRPr="00D04853">
        <w:rPr>
          <w:sz w:val="18"/>
          <w:szCs w:val="18"/>
          <w:vertAlign w:val="superscript"/>
        </w:rPr>
        <w:footnoteReference w:id="1"/>
      </w:r>
      <w:bookmarkEnd w:id="6"/>
      <w:bookmarkEnd w:id="7"/>
    </w:p>
    <w:p w14:paraId="044A232F" w14:textId="77777777" w:rsidR="00B60375" w:rsidRDefault="00B60375" w:rsidP="00B60375">
      <w:pPr>
        <w:pStyle w:val="Default"/>
        <w:jc w:val="both"/>
        <w:rPr>
          <w:rFonts w:ascii="Times New Roman" w:hAnsi="Times New Roman" w:cs="Times New Roman"/>
        </w:rPr>
      </w:pPr>
    </w:p>
    <w:p w14:paraId="2B346AFD" w14:textId="77777777" w:rsidR="00B60375" w:rsidRPr="00DB045A" w:rsidRDefault="00B60375" w:rsidP="00B60375">
      <w:pPr>
        <w:pStyle w:val="Default"/>
        <w:jc w:val="both"/>
        <w:rPr>
          <w:rFonts w:ascii="Times New Roman" w:hAnsi="Times New Roman" w:cs="Times New Roman"/>
        </w:rPr>
      </w:pPr>
      <w:r w:rsidRPr="00DB045A">
        <w:rPr>
          <w:rFonts w:ascii="Times New Roman" w:hAnsi="Times New Roman" w:cs="Times New Roman"/>
        </w:rPr>
        <w:t>Podpora de minimis může být poskytnuta v souladu:</w:t>
      </w:r>
    </w:p>
    <w:p w14:paraId="14F92622" w14:textId="77777777" w:rsidR="00B60375" w:rsidRPr="00DB045A" w:rsidRDefault="00B60375" w:rsidP="00B60375">
      <w:pPr>
        <w:pStyle w:val="Default"/>
        <w:numPr>
          <w:ilvl w:val="0"/>
          <w:numId w:val="5"/>
        </w:numPr>
        <w:spacing w:after="63"/>
        <w:ind w:left="709" w:hanging="283"/>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s Nařízením Komise (EU) 2023/2831 ze dne 13. prosince 2023 o použití článku 107 a 108 Smlouvy o fungování Evropské unie na podporu de minimis (dále jen „nařízení 2023/2831“),</w:t>
      </w:r>
    </w:p>
    <w:p w14:paraId="35389F00" w14:textId="25E8D174" w:rsidR="00B60375" w:rsidRPr="00DB045A" w:rsidRDefault="00B60375" w:rsidP="00B60375">
      <w:pPr>
        <w:pStyle w:val="Default"/>
        <w:numPr>
          <w:ilvl w:val="0"/>
          <w:numId w:val="5"/>
        </w:numPr>
        <w:spacing w:after="63"/>
        <w:ind w:left="709" w:hanging="283"/>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s Nařízením Komise (EU) č. 1408/2013 ze dne 18. prosince 2013 o použití článků 107 a 108 Smlouvy o fungování Evropské unie na podporu de minimis v odvětví zemědělství</w:t>
      </w:r>
      <w:r w:rsidR="00E81916">
        <w:rPr>
          <w:rFonts w:ascii="Times New Roman" w:eastAsia="SimSun" w:hAnsi="Times New Roman" w:cs="Times New Roman"/>
          <w:color w:val="auto"/>
          <w:lang w:eastAsia="cs-CZ"/>
        </w:rPr>
        <w:t xml:space="preserve"> </w:t>
      </w:r>
      <w:r w:rsidR="00E81916" w:rsidRPr="00DB045A">
        <w:rPr>
          <w:rFonts w:ascii="Times New Roman" w:eastAsia="SimSun" w:hAnsi="Times New Roman" w:cs="Times New Roman"/>
          <w:color w:val="auto"/>
          <w:lang w:eastAsia="cs-CZ"/>
        </w:rPr>
        <w:t xml:space="preserve">(dále jen „nařízení </w:t>
      </w:r>
      <w:r w:rsidR="00E81916">
        <w:rPr>
          <w:rFonts w:ascii="Times New Roman" w:eastAsia="SimSun" w:hAnsi="Times New Roman" w:cs="Times New Roman"/>
          <w:color w:val="auto"/>
          <w:lang w:eastAsia="cs-CZ"/>
        </w:rPr>
        <w:t>1408</w:t>
      </w:r>
      <w:r w:rsidR="00E81916" w:rsidRPr="00DB045A">
        <w:rPr>
          <w:rFonts w:ascii="Times New Roman" w:eastAsia="SimSun" w:hAnsi="Times New Roman" w:cs="Times New Roman"/>
          <w:color w:val="auto"/>
          <w:lang w:eastAsia="cs-CZ"/>
        </w:rPr>
        <w:t>/2</w:t>
      </w:r>
      <w:r w:rsidR="00E81916">
        <w:rPr>
          <w:rFonts w:ascii="Times New Roman" w:eastAsia="SimSun" w:hAnsi="Times New Roman" w:cs="Times New Roman"/>
          <w:color w:val="auto"/>
          <w:lang w:eastAsia="cs-CZ"/>
        </w:rPr>
        <w:t>013</w:t>
      </w:r>
      <w:r w:rsidR="00E81916" w:rsidRPr="00DB045A">
        <w:rPr>
          <w:rFonts w:ascii="Times New Roman" w:eastAsia="SimSun" w:hAnsi="Times New Roman" w:cs="Times New Roman"/>
          <w:color w:val="auto"/>
          <w:lang w:eastAsia="cs-CZ"/>
        </w:rPr>
        <w:t>“)</w:t>
      </w:r>
      <w:r w:rsidRPr="00DB045A">
        <w:rPr>
          <w:rFonts w:ascii="Times New Roman" w:eastAsia="SimSun" w:hAnsi="Times New Roman" w:cs="Times New Roman"/>
          <w:color w:val="auto"/>
          <w:lang w:eastAsia="cs-CZ"/>
        </w:rPr>
        <w:t>,</w:t>
      </w:r>
    </w:p>
    <w:p w14:paraId="583882C3" w14:textId="456D976D" w:rsidR="00B60375" w:rsidRPr="00DB045A" w:rsidRDefault="00B60375" w:rsidP="00B60375">
      <w:pPr>
        <w:pStyle w:val="Default"/>
        <w:numPr>
          <w:ilvl w:val="0"/>
          <w:numId w:val="5"/>
        </w:numPr>
        <w:spacing w:after="63"/>
        <w:ind w:left="709" w:hanging="283"/>
        <w:rPr>
          <w:rFonts w:ascii="Times New Roman" w:eastAsia="SimSun" w:hAnsi="Times New Roman" w:cs="Times New Roman"/>
          <w:color w:val="auto"/>
          <w:lang w:eastAsia="cs-CZ"/>
        </w:rPr>
      </w:pPr>
      <w:r w:rsidRPr="00DB045A">
        <w:rPr>
          <w:rFonts w:ascii="Times New Roman" w:eastAsia="SimSun" w:hAnsi="Times New Roman" w:cs="Times New Roman"/>
          <w:color w:val="auto"/>
          <w:lang w:eastAsia="cs-CZ"/>
        </w:rPr>
        <w:t>s Nařízením Komise (EU) č. 717/2014 ze dne 27. června 2014 o použití článků 107 a 108 Smlouvy o fungování Evropské unie na podporu de minimis v odvětví rybolovu a akvakultury</w:t>
      </w:r>
      <w:r w:rsidR="00E81916">
        <w:rPr>
          <w:rFonts w:ascii="Times New Roman" w:eastAsia="SimSun" w:hAnsi="Times New Roman" w:cs="Times New Roman"/>
          <w:color w:val="auto"/>
          <w:lang w:eastAsia="cs-CZ"/>
        </w:rPr>
        <w:t xml:space="preserve"> </w:t>
      </w:r>
      <w:r w:rsidR="00E81916" w:rsidRPr="00DB045A">
        <w:rPr>
          <w:rFonts w:ascii="Times New Roman" w:eastAsia="SimSun" w:hAnsi="Times New Roman" w:cs="Times New Roman"/>
          <w:color w:val="auto"/>
          <w:lang w:eastAsia="cs-CZ"/>
        </w:rPr>
        <w:t xml:space="preserve">(dále jen „nařízení </w:t>
      </w:r>
      <w:r w:rsidR="00E81916">
        <w:rPr>
          <w:rFonts w:ascii="Times New Roman" w:eastAsia="SimSun" w:hAnsi="Times New Roman" w:cs="Times New Roman"/>
          <w:color w:val="auto"/>
          <w:lang w:eastAsia="cs-CZ"/>
        </w:rPr>
        <w:t>717</w:t>
      </w:r>
      <w:r w:rsidR="00E81916" w:rsidRPr="00DB045A">
        <w:rPr>
          <w:rFonts w:ascii="Times New Roman" w:eastAsia="SimSun" w:hAnsi="Times New Roman" w:cs="Times New Roman"/>
          <w:color w:val="auto"/>
          <w:lang w:eastAsia="cs-CZ"/>
        </w:rPr>
        <w:t>/</w:t>
      </w:r>
      <w:r w:rsidR="00E81916">
        <w:rPr>
          <w:rFonts w:ascii="Times New Roman" w:eastAsia="SimSun" w:hAnsi="Times New Roman" w:cs="Times New Roman"/>
          <w:color w:val="auto"/>
          <w:lang w:eastAsia="cs-CZ"/>
        </w:rPr>
        <w:t>2014</w:t>
      </w:r>
      <w:r w:rsidR="00E81916" w:rsidRPr="00DB045A">
        <w:rPr>
          <w:rFonts w:ascii="Times New Roman" w:eastAsia="SimSun" w:hAnsi="Times New Roman" w:cs="Times New Roman"/>
          <w:color w:val="auto"/>
          <w:lang w:eastAsia="cs-CZ"/>
        </w:rPr>
        <w:t>“)</w:t>
      </w:r>
      <w:r w:rsidRPr="00DB045A">
        <w:rPr>
          <w:rFonts w:ascii="Times New Roman" w:eastAsia="SimSun" w:hAnsi="Times New Roman" w:cs="Times New Roman"/>
          <w:color w:val="auto"/>
          <w:lang w:eastAsia="cs-CZ"/>
        </w:rPr>
        <w:t>.</w:t>
      </w:r>
    </w:p>
    <w:p w14:paraId="0AFD62C9" w14:textId="77777777" w:rsidR="00B60375" w:rsidRPr="00DB045A" w:rsidRDefault="00B60375" w:rsidP="00B60375">
      <w:pPr>
        <w:spacing w:line="276" w:lineRule="auto"/>
        <w:jc w:val="both"/>
        <w:rPr>
          <w:lang w:eastAsia="cs-CZ"/>
        </w:rPr>
      </w:pPr>
      <w:r w:rsidRPr="00DB045A">
        <w:rPr>
          <w:lang w:eastAsia="cs-CZ"/>
        </w:rPr>
        <w:t>Režim de minimis se doporučuje zvolit mj. v případech, kdy žadatel o podporu sám dopředu shledá, že v projektu nelze jednoznačně vyloučit přítomnost veřejné podpory.</w:t>
      </w:r>
    </w:p>
    <w:p w14:paraId="35C37ABC" w14:textId="77777777" w:rsidR="00B60375" w:rsidRPr="00DB045A" w:rsidRDefault="00B60375" w:rsidP="00B60375">
      <w:pPr>
        <w:spacing w:line="276" w:lineRule="auto"/>
        <w:jc w:val="both"/>
        <w:rPr>
          <w:lang w:eastAsia="cs-CZ"/>
        </w:rPr>
      </w:pPr>
      <w:r w:rsidRPr="00DB045A">
        <w:rPr>
          <w:lang w:eastAsia="cs-CZ"/>
        </w:rPr>
        <w:t xml:space="preserve">V případě infrastruktury vztahující se k podporovaným aktivitám v blízkosti atraktivit cestovního ruchu komerčního charakteru, se žadateli doporučuje zvolit pro projekt režim </w:t>
      </w:r>
      <w:r w:rsidRPr="00DB045A">
        <w:rPr>
          <w:lang w:eastAsia="cs-CZ"/>
        </w:rPr>
        <w:lastRenderedPageBreak/>
        <w:t>podpory de minimis, a to za účelem eliminace rizika nesprávného vyhodnocení jednotlivých definičních znaků veřejné podpory a na základě něj poskytnutí nedovolené veřejné podpory.</w:t>
      </w:r>
    </w:p>
    <w:p w14:paraId="27483D3D" w14:textId="77777777" w:rsidR="00B60375" w:rsidRDefault="00B60375" w:rsidP="00B60375">
      <w:pPr>
        <w:spacing w:line="276" w:lineRule="auto"/>
        <w:rPr>
          <w:lang w:eastAsia="cs-CZ"/>
        </w:rPr>
      </w:pPr>
    </w:p>
    <w:p w14:paraId="196216D1" w14:textId="77777777" w:rsidR="00B60375" w:rsidRPr="00904806" w:rsidRDefault="00B60375" w:rsidP="00B60375">
      <w:pPr>
        <w:pStyle w:val="Odstavecseseznamem"/>
        <w:numPr>
          <w:ilvl w:val="0"/>
          <w:numId w:val="15"/>
        </w:numPr>
        <w:spacing w:line="276" w:lineRule="auto"/>
        <w:contextualSpacing w:val="0"/>
        <w:jc w:val="both"/>
        <w:rPr>
          <w:b/>
          <w:bCs/>
        </w:rPr>
      </w:pPr>
      <w:r w:rsidRPr="00904806">
        <w:rPr>
          <w:b/>
          <w:bCs/>
        </w:rPr>
        <w:t>Podpora v režimu de minimis podle Nařízení 2023/2831</w:t>
      </w:r>
    </w:p>
    <w:p w14:paraId="6312189B" w14:textId="77777777" w:rsidR="00B60375" w:rsidRPr="00DB045A" w:rsidRDefault="00B60375" w:rsidP="00B60375">
      <w:pPr>
        <w:spacing w:line="276" w:lineRule="auto"/>
        <w:jc w:val="both"/>
        <w:rPr>
          <w:lang w:eastAsia="cs-CZ"/>
        </w:rPr>
      </w:pPr>
      <w:r w:rsidRPr="00DB045A">
        <w:rPr>
          <w:lang w:eastAsia="cs-CZ"/>
        </w:rPr>
        <w:t xml:space="preserve">Při poskytování podpory dle nařízení 2023/2831 platí následující podmínky: </w:t>
      </w:r>
    </w:p>
    <w:p w14:paraId="4846D37E" w14:textId="77777777" w:rsidR="00B60375" w:rsidRPr="00DB045A" w:rsidRDefault="00B60375" w:rsidP="00B60375">
      <w:pPr>
        <w:spacing w:line="276" w:lineRule="auto"/>
        <w:jc w:val="both"/>
        <w:rPr>
          <w:lang w:eastAsia="cs-CZ"/>
        </w:rPr>
      </w:pPr>
      <w:r w:rsidRPr="00DB045A">
        <w:rPr>
          <w:lang w:eastAsia="cs-CZ"/>
        </w:rPr>
        <w:t>Podle čl. 3 bodu 2 nařízení 2023/2831 nesmí celková výše podpory de minimis udělená jednomu příjemci (ve smyslu jednoho podniku) přesáhnout v žádném tříletém období částku 300 000 EUR. Částka dotace je v</w:t>
      </w:r>
      <w:r>
        <w:rPr>
          <w:lang w:eastAsia="cs-CZ"/>
        </w:rPr>
        <w:t> ROPD/PA</w:t>
      </w:r>
      <w:r w:rsidRPr="00DB045A">
        <w:rPr>
          <w:lang w:eastAsia="cs-CZ"/>
        </w:rPr>
        <w:t xml:space="preserve"> uvedena v korunách (Kč) a pro přepočet se použije měnový kurz Evropské centrální banky k datu jeho vydání. </w:t>
      </w:r>
    </w:p>
    <w:p w14:paraId="602C52CD" w14:textId="77777777" w:rsidR="00B60375" w:rsidRPr="00DB045A" w:rsidRDefault="00B60375" w:rsidP="00B60375">
      <w:pPr>
        <w:spacing w:line="276" w:lineRule="auto"/>
        <w:jc w:val="both"/>
        <w:rPr>
          <w:lang w:eastAsia="cs-CZ"/>
        </w:rPr>
      </w:pPr>
    </w:p>
    <w:p w14:paraId="1F716DFF" w14:textId="77777777" w:rsidR="00B60375" w:rsidRPr="00DB045A" w:rsidRDefault="00B60375" w:rsidP="00B60375">
      <w:pPr>
        <w:spacing w:line="276" w:lineRule="auto"/>
        <w:jc w:val="both"/>
        <w:rPr>
          <w:lang w:eastAsia="cs-CZ"/>
        </w:rPr>
      </w:pPr>
      <w:r w:rsidRPr="00DB045A">
        <w:rPr>
          <w:lang w:eastAsia="cs-CZ"/>
        </w:rPr>
        <w:t>Podle čl. 3 bodu 3 nařízení 2023/2831 se podpora de minimis považuje za udělenou v okamžiku, kdy příjemce podpory získá na podporu právní nárok, a to bez ohledu na to, kdy byla podpora de minimis danému příjemci podpory vyplacena. Rozhodným okamžikem je datum</w:t>
      </w:r>
      <w:r>
        <w:rPr>
          <w:lang w:eastAsia="cs-CZ"/>
        </w:rPr>
        <w:t>, kdy ROPD/PA nabylo účinnosti</w:t>
      </w:r>
      <w:r w:rsidRPr="00DB045A">
        <w:rPr>
          <w:lang w:eastAsia="cs-CZ"/>
        </w:rPr>
        <w:t xml:space="preserve">. Od tohoto data se počítá lhůta </w:t>
      </w:r>
      <w:r>
        <w:rPr>
          <w:lang w:eastAsia="cs-CZ"/>
        </w:rPr>
        <w:t xml:space="preserve">dvaceti </w:t>
      </w:r>
      <w:r w:rsidRPr="00DB045A">
        <w:rPr>
          <w:lang w:eastAsia="cs-CZ"/>
        </w:rPr>
        <w:t>pracovních dnů pro záznam o poskytnuté podpoře de minimis do Registru de minimis.</w:t>
      </w:r>
    </w:p>
    <w:p w14:paraId="5D959C36" w14:textId="77777777" w:rsidR="00B60375" w:rsidRPr="00DB045A" w:rsidRDefault="00B60375" w:rsidP="00B60375">
      <w:pPr>
        <w:spacing w:line="276" w:lineRule="auto"/>
        <w:jc w:val="both"/>
        <w:rPr>
          <w:lang w:eastAsia="cs-CZ"/>
        </w:rPr>
      </w:pPr>
    </w:p>
    <w:p w14:paraId="4F96B5E2" w14:textId="77777777" w:rsidR="00B60375" w:rsidRPr="00DB045A" w:rsidRDefault="00B60375" w:rsidP="00B60375">
      <w:pPr>
        <w:spacing w:line="276" w:lineRule="auto"/>
        <w:jc w:val="both"/>
        <w:rPr>
          <w:lang w:eastAsia="cs-CZ"/>
        </w:rPr>
      </w:pPr>
      <w:r w:rsidRPr="00DB045A">
        <w:rPr>
          <w:lang w:eastAsia="cs-CZ"/>
        </w:rPr>
        <w:t xml:space="preserve">Podle čl. 1 bodu 1 nelze podporu de minimis dle nařízení 2023/2831 poskytnout: </w:t>
      </w:r>
    </w:p>
    <w:p w14:paraId="63CC7903"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 xml:space="preserve">podnikům působícím v oblasti prvovýroby produktů rybolovu a akvakultury; </w:t>
      </w:r>
    </w:p>
    <w:p w14:paraId="364B6718"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 xml:space="preserve">podnikům působícím v oblasti zpracování a uvádění produktů rybolovu a akvakultury na trh, je-li výše podpory stanovena na základě ceny nebo množství produktů zakoupených nebo uvedených na trh; </w:t>
      </w:r>
    </w:p>
    <w:p w14:paraId="05BED8FE"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 xml:space="preserve">pokud se jedná o podpory udílené podnikům působícím v oblasti prvovýroby zemědělských produktů; </w:t>
      </w:r>
    </w:p>
    <w:p w14:paraId="05973084"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pokud se jedná o podpory udílené podnikům působícím v oblasti zpracování a uvádění zemědělských produktů na trh, a to v jednom z případů uvedených v čl. 1 bodu 1, písm. d(i) a d(</w:t>
      </w:r>
      <w:proofErr w:type="spellStart"/>
      <w:r w:rsidRPr="00DB045A">
        <w:rPr>
          <w:lang w:eastAsia="cs-CZ"/>
        </w:rPr>
        <w:t>ii</w:t>
      </w:r>
      <w:proofErr w:type="spellEnd"/>
      <w:r w:rsidRPr="00DB045A">
        <w:rPr>
          <w:lang w:eastAsia="cs-CZ"/>
        </w:rPr>
        <w:t xml:space="preserve">) nařízení 2023/2831; </w:t>
      </w:r>
    </w:p>
    <w:p w14:paraId="142CD9D3"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 xml:space="preserve">pokud se jedná o podpory udílené na činnosti spojené s vývozem do třetích zemí nebo členských států, tj. podpory přímo spojené s vyváženým množstvím, se zavedením a provozem distribuční sítě nebo s jinými běžnými výdaji v souvislosti s vývozní činností; </w:t>
      </w:r>
    </w:p>
    <w:p w14:paraId="17AD2B07" w14:textId="77777777" w:rsidR="00B60375" w:rsidRPr="00DB045A" w:rsidRDefault="00B60375" w:rsidP="00B60375">
      <w:pPr>
        <w:numPr>
          <w:ilvl w:val="0"/>
          <w:numId w:val="6"/>
        </w:numPr>
        <w:spacing w:line="276" w:lineRule="auto"/>
        <w:ind w:left="709" w:hanging="283"/>
        <w:jc w:val="both"/>
        <w:rPr>
          <w:lang w:eastAsia="cs-CZ"/>
        </w:rPr>
      </w:pPr>
      <w:r w:rsidRPr="00DB045A">
        <w:rPr>
          <w:lang w:eastAsia="cs-CZ"/>
        </w:rPr>
        <w:t xml:space="preserve">pokud se jedná o podpory podmíněné používáním domácích produktů a služeb na úkor dovážených produktů a služeb. </w:t>
      </w:r>
    </w:p>
    <w:p w14:paraId="695867EF" w14:textId="77777777" w:rsidR="00B60375" w:rsidRPr="00DB045A" w:rsidRDefault="00B60375" w:rsidP="00B60375">
      <w:pPr>
        <w:spacing w:line="276" w:lineRule="auto"/>
        <w:jc w:val="both"/>
        <w:rPr>
          <w:lang w:eastAsia="cs-CZ"/>
        </w:rPr>
      </w:pPr>
    </w:p>
    <w:p w14:paraId="7F982518" w14:textId="77777777" w:rsidR="00B60375" w:rsidRPr="00DB045A" w:rsidRDefault="00B60375" w:rsidP="00B60375">
      <w:pPr>
        <w:spacing w:line="276" w:lineRule="auto"/>
        <w:jc w:val="both"/>
        <w:rPr>
          <w:lang w:eastAsia="cs-CZ"/>
        </w:rPr>
      </w:pPr>
      <w:r w:rsidRPr="00DB045A">
        <w:rPr>
          <w:lang w:eastAsia="cs-CZ"/>
        </w:rPr>
        <w:t xml:space="preserve">ZP jako poskytovatel podpory de minimis musí zaznamenat předepsané údaje o poskytnuté podpoře de minimis do Registru de minimis. Zákonná lhůta pro záznam je </w:t>
      </w:r>
      <w:r>
        <w:rPr>
          <w:lang w:eastAsia="cs-CZ"/>
        </w:rPr>
        <w:t>dvacet</w:t>
      </w:r>
      <w:r w:rsidRPr="00DB045A">
        <w:rPr>
          <w:lang w:eastAsia="cs-CZ"/>
        </w:rPr>
        <w:t xml:space="preserve"> pracovních dní ode dne poskytnutí podpory de minimis příjemci. ZP poskytne novou podporu de minimis po přezkoumání, zda celková výše podpory de minimis, kterou žadatel</w:t>
      </w:r>
      <w:r>
        <w:rPr>
          <w:lang w:eastAsia="cs-CZ"/>
        </w:rPr>
        <w:t>, respektive skupina propojených podniků</w:t>
      </w:r>
      <w:r>
        <w:rPr>
          <w:rStyle w:val="Znakapoznpodarou"/>
          <w:lang w:eastAsia="cs-CZ"/>
        </w:rPr>
        <w:footnoteReference w:id="2"/>
      </w:r>
      <w:r w:rsidRPr="00DB045A">
        <w:rPr>
          <w:lang w:eastAsia="cs-CZ"/>
        </w:rPr>
        <w:t xml:space="preserve"> </w:t>
      </w:r>
      <w:r>
        <w:rPr>
          <w:lang w:eastAsia="cs-CZ"/>
        </w:rPr>
        <w:t xml:space="preserve">(„jeden podnik“), </w:t>
      </w:r>
      <w:r w:rsidRPr="00DB045A">
        <w:rPr>
          <w:lang w:eastAsia="cs-CZ"/>
        </w:rPr>
        <w:t xml:space="preserve">obdržel v rozhodném období, nepřesáhne stanovený limit. Před poskytnutím podpory proto ZP ověří v Registru de minimis, zda poskytnutím </w:t>
      </w:r>
      <w:r w:rsidRPr="00DB045A">
        <w:rPr>
          <w:lang w:eastAsia="cs-CZ"/>
        </w:rPr>
        <w:lastRenderedPageBreak/>
        <w:t>podpory nedojde k překročení daného limitu. Pokud má žadatel část limitu vyčerpanou, může čerpat jen část zbývající do limitu de minimis.</w:t>
      </w:r>
    </w:p>
    <w:p w14:paraId="0AD411CB" w14:textId="77777777" w:rsidR="00B60375" w:rsidRPr="00DB045A" w:rsidRDefault="00B60375" w:rsidP="00B60375">
      <w:pPr>
        <w:spacing w:line="276" w:lineRule="auto"/>
        <w:jc w:val="both"/>
        <w:rPr>
          <w:lang w:eastAsia="cs-CZ"/>
        </w:rPr>
      </w:pPr>
    </w:p>
    <w:p w14:paraId="04BB46D5" w14:textId="77777777" w:rsidR="00B60375" w:rsidRPr="00DB045A" w:rsidRDefault="00B60375" w:rsidP="00B60375">
      <w:pPr>
        <w:spacing w:line="276" w:lineRule="auto"/>
        <w:jc w:val="both"/>
        <w:rPr>
          <w:lang w:eastAsia="cs-CZ"/>
        </w:rPr>
      </w:pPr>
      <w:r w:rsidRPr="00DB045A">
        <w:rPr>
          <w:lang w:eastAsia="cs-CZ"/>
        </w:rPr>
        <w:t>Podle čl. 3 bodu 4 nařízení 2023/2831 se výše uvedený limit de minimis uplatní nezávisle na formě podpory de minimis nebo jejím sledovaném cíli a nezávisle na tom, zda je podpora udělená členským státem zcela nebo částečně financována ze zdrojů Unie.</w:t>
      </w:r>
    </w:p>
    <w:p w14:paraId="1F9901B1" w14:textId="77777777" w:rsidR="00B60375" w:rsidRPr="00DB045A" w:rsidRDefault="00B60375" w:rsidP="00B60375">
      <w:pPr>
        <w:spacing w:line="276" w:lineRule="auto"/>
        <w:jc w:val="both"/>
        <w:rPr>
          <w:lang w:eastAsia="cs-CZ"/>
        </w:rPr>
      </w:pPr>
      <w:r w:rsidRPr="00DB045A">
        <w:rPr>
          <w:lang w:eastAsia="cs-CZ"/>
        </w:rPr>
        <w:t>Podle čl. 3 bodu 7 nařízení 2023/2831 nelze novou podporu de minimis poskytnout, jestliže by udělení nové podpory de minimis vedlo k překročení výše uvedeného limitu de minimis.</w:t>
      </w:r>
    </w:p>
    <w:p w14:paraId="4BE2B280" w14:textId="77777777" w:rsidR="00B60375" w:rsidRPr="00DB045A" w:rsidRDefault="00B60375" w:rsidP="00B60375">
      <w:pPr>
        <w:spacing w:line="276" w:lineRule="auto"/>
        <w:jc w:val="both"/>
        <w:rPr>
          <w:lang w:eastAsia="cs-CZ"/>
        </w:rPr>
      </w:pPr>
      <w:r w:rsidRPr="00DB045A">
        <w:rPr>
          <w:lang w:eastAsia="cs-CZ"/>
        </w:rPr>
        <w:t>Podle čl. 3 bodu 8, v případě spojení či nabytí je třeba přihlédnout k veškerým podporám de minimis, které byly všem podnikům účastnícím se spojení uděleny dříve, aby se zjistilo, že žádnou novou podporou de minimis udělenou nově vzniklému či nabývajícímu podniku nedojde k překročení stropu stanoveného v čl. 3 bodu 2 nařízení 2023/2831. Oprávněnost podpory de minimis udělené před spojením či nabytím zůstává i nadále zachována.</w:t>
      </w:r>
    </w:p>
    <w:p w14:paraId="52E6B21D" w14:textId="77777777" w:rsidR="00B60375" w:rsidRPr="00DB045A" w:rsidRDefault="00B60375" w:rsidP="00B60375">
      <w:pPr>
        <w:spacing w:line="276" w:lineRule="auto"/>
        <w:jc w:val="both"/>
        <w:rPr>
          <w:lang w:eastAsia="cs-CZ"/>
        </w:rPr>
      </w:pPr>
    </w:p>
    <w:p w14:paraId="774BE5AA" w14:textId="77777777" w:rsidR="00B60375" w:rsidRPr="00DB045A" w:rsidRDefault="00B60375" w:rsidP="00B60375">
      <w:pPr>
        <w:spacing w:line="276" w:lineRule="auto"/>
        <w:jc w:val="both"/>
        <w:rPr>
          <w:lang w:eastAsia="cs-CZ"/>
        </w:rPr>
      </w:pPr>
      <w:r w:rsidRPr="00DB045A">
        <w:rPr>
          <w:lang w:eastAsia="cs-CZ"/>
        </w:rPr>
        <w:t xml:space="preserve">Podle čl. 3 bodu 9, v případě rozdělení jednoho podniku na dva či více samostatných podniků se podpora de minimis udělená před rozdělením přidělí podniku, který byl jejím příjemcem, což je v zásadě podnik, který převzal činnosti, na něž byla podpora de minimis použita. Pokud by takové přidělení nebylo možné, přidělí se podpora de minimis poměrným způsobem na základě účetní hodnoty vlastního kapitálu nových podniků k datu účinku rozdělení. </w:t>
      </w:r>
    </w:p>
    <w:p w14:paraId="35B69083" w14:textId="77777777" w:rsidR="00B60375" w:rsidRPr="00DB045A" w:rsidRDefault="00B60375" w:rsidP="00B60375">
      <w:pPr>
        <w:spacing w:line="276" w:lineRule="auto"/>
        <w:jc w:val="both"/>
        <w:rPr>
          <w:lang w:eastAsia="cs-CZ"/>
        </w:rPr>
      </w:pPr>
      <w:r w:rsidRPr="00DB045A">
        <w:rPr>
          <w:lang w:eastAsia="cs-CZ"/>
        </w:rPr>
        <w:t>Nová podpora de minimis bude příjemci podpory poskytnuta po přezkoumání, zda celková výše podpory de minimis, kterou žadatel obdržel v rozhodném období</w:t>
      </w:r>
      <w:r w:rsidRPr="00DB045A">
        <w:rPr>
          <w:rStyle w:val="Znakapoznpodarou"/>
          <w:lang w:eastAsia="cs-CZ"/>
        </w:rPr>
        <w:footnoteReference w:id="3"/>
      </w:r>
      <w:r w:rsidRPr="00DB045A">
        <w:rPr>
          <w:lang w:eastAsia="cs-CZ"/>
        </w:rPr>
        <w:t>, nepřesáhne limit stanovený nařízením 2023/2831.</w:t>
      </w:r>
    </w:p>
    <w:p w14:paraId="37D2BED7" w14:textId="77777777" w:rsidR="00B60375" w:rsidRPr="00DB045A" w:rsidRDefault="00B60375" w:rsidP="00B60375">
      <w:pPr>
        <w:spacing w:line="276" w:lineRule="auto"/>
        <w:jc w:val="both"/>
        <w:rPr>
          <w:lang w:eastAsia="cs-CZ"/>
        </w:rPr>
      </w:pPr>
    </w:p>
    <w:p w14:paraId="2AF0225C" w14:textId="77777777" w:rsidR="00B60375" w:rsidRPr="00DB045A" w:rsidRDefault="00B60375" w:rsidP="00B60375">
      <w:pPr>
        <w:spacing w:line="276" w:lineRule="auto"/>
        <w:jc w:val="both"/>
        <w:rPr>
          <w:lang w:eastAsia="cs-CZ"/>
        </w:rPr>
      </w:pPr>
      <w:r w:rsidRPr="00DB045A">
        <w:rPr>
          <w:lang w:eastAsia="cs-CZ"/>
        </w:rPr>
        <w:t xml:space="preserve">V příloze projektové žádosti musí být vyplněny informace týkající se subjektů naplňujících definici „jednoho podniku“. Pro účely pravidel hospodářské soutěže je podnikem jakýkoliv subjekt vykonávající hospodářskou činnost nezávisle na právním postavení tohoto subjektu a způsobu jeho financování. </w:t>
      </w:r>
    </w:p>
    <w:p w14:paraId="5962FE9C" w14:textId="77777777" w:rsidR="00B60375" w:rsidRPr="00DB045A" w:rsidRDefault="00B60375" w:rsidP="00B60375">
      <w:pPr>
        <w:spacing w:line="276" w:lineRule="auto"/>
        <w:jc w:val="both"/>
        <w:rPr>
          <w:lang w:eastAsia="cs-CZ"/>
        </w:rPr>
      </w:pPr>
    </w:p>
    <w:p w14:paraId="45CE82AF" w14:textId="77777777" w:rsidR="00B60375" w:rsidRPr="00DB045A" w:rsidRDefault="00B60375" w:rsidP="00B60375">
      <w:pPr>
        <w:spacing w:line="276" w:lineRule="auto"/>
        <w:jc w:val="both"/>
        <w:rPr>
          <w:lang w:eastAsia="cs-CZ"/>
        </w:rPr>
      </w:pPr>
      <w:r w:rsidRPr="00DB045A">
        <w:rPr>
          <w:lang w:eastAsia="cs-CZ"/>
        </w:rPr>
        <w:t xml:space="preserve">Podle čl. 2 bodu 2 nařízení 2023/2831 se „jedním podnikem“ pro účely aplikace tohoto nařízení rozumí veškeré subjekty, které mezi sebou mají alespoň jeden z následujících vztahů: </w:t>
      </w:r>
    </w:p>
    <w:p w14:paraId="1E784F83" w14:textId="77777777" w:rsidR="00B60375" w:rsidRPr="00DB045A" w:rsidRDefault="00B60375" w:rsidP="00620CD1">
      <w:pPr>
        <w:spacing w:line="276" w:lineRule="auto"/>
        <w:ind w:left="426" w:hanging="284"/>
        <w:jc w:val="both"/>
        <w:rPr>
          <w:lang w:eastAsia="cs-CZ"/>
        </w:rPr>
      </w:pPr>
      <w:r w:rsidRPr="00DB045A">
        <w:rPr>
          <w:lang w:eastAsia="cs-CZ"/>
        </w:rPr>
        <w:t xml:space="preserve">a) jeden subjekt vlastní většinu hlasovacích práv, která náležejí akcionářům nebo společníkům, v jiném subjektu; </w:t>
      </w:r>
    </w:p>
    <w:p w14:paraId="088F2990" w14:textId="77777777" w:rsidR="00B60375" w:rsidRPr="00DB045A" w:rsidRDefault="00B60375" w:rsidP="00620CD1">
      <w:pPr>
        <w:spacing w:line="276" w:lineRule="auto"/>
        <w:ind w:left="426" w:hanging="284"/>
        <w:jc w:val="both"/>
        <w:rPr>
          <w:lang w:eastAsia="cs-CZ"/>
        </w:rPr>
      </w:pPr>
      <w:r w:rsidRPr="00DB045A">
        <w:rPr>
          <w:lang w:eastAsia="cs-CZ"/>
        </w:rPr>
        <w:t xml:space="preserve">b) jeden subjekt má právo jmenovat nebo odvolat většinu členů správního, řídicího nebo dozorčího orgánu jiného subjektu; </w:t>
      </w:r>
    </w:p>
    <w:p w14:paraId="773A2C09" w14:textId="77777777" w:rsidR="00B60375" w:rsidRPr="00DB045A" w:rsidRDefault="00B60375" w:rsidP="00620CD1">
      <w:pPr>
        <w:spacing w:line="276" w:lineRule="auto"/>
        <w:ind w:left="426" w:hanging="284"/>
        <w:jc w:val="both"/>
        <w:rPr>
          <w:lang w:eastAsia="cs-CZ"/>
        </w:rPr>
      </w:pPr>
      <w:r w:rsidRPr="00DB045A">
        <w:rPr>
          <w:lang w:eastAsia="cs-CZ"/>
        </w:rPr>
        <w:t xml:space="preserve">c) jeden subjekt má právo uplatňovat rozhodující vliv v jiném subjektu podle smlouvy uzavřené s daným subjektem nebo podle ustanovení v zakladatelské smlouvě nebo ve stanovách tohoto subjektu; </w:t>
      </w:r>
    </w:p>
    <w:p w14:paraId="0DB8545A" w14:textId="77777777" w:rsidR="00B60375" w:rsidRPr="00DB045A" w:rsidRDefault="00B60375" w:rsidP="00620CD1">
      <w:pPr>
        <w:spacing w:line="276" w:lineRule="auto"/>
        <w:ind w:left="426" w:hanging="284"/>
        <w:jc w:val="both"/>
        <w:rPr>
          <w:lang w:eastAsia="cs-CZ"/>
        </w:rPr>
      </w:pPr>
      <w:r w:rsidRPr="00DB045A">
        <w:rPr>
          <w:lang w:eastAsia="cs-CZ"/>
        </w:rPr>
        <w:t>d) jeden subjekt, který je akcionářem nebo společníkem jiného subjektu, ovládá sám, podle dohody uzavřené s jinými akcionáři nebo společníky daného subjektu, většinu hlasovacích práv, náležejících akcionářům nebo společníkům, v daném subjektu.</w:t>
      </w:r>
    </w:p>
    <w:p w14:paraId="3B9A5678" w14:textId="77777777" w:rsidR="00620CD1" w:rsidRDefault="00620CD1" w:rsidP="00B60375">
      <w:pPr>
        <w:spacing w:line="276" w:lineRule="auto"/>
        <w:jc w:val="both"/>
        <w:rPr>
          <w:lang w:eastAsia="cs-CZ"/>
        </w:rPr>
      </w:pPr>
    </w:p>
    <w:p w14:paraId="7388B691" w14:textId="44E2606F" w:rsidR="00B60375" w:rsidRDefault="00B60375" w:rsidP="00B60375">
      <w:pPr>
        <w:spacing w:line="276" w:lineRule="auto"/>
        <w:jc w:val="both"/>
        <w:rPr>
          <w:lang w:eastAsia="cs-CZ"/>
        </w:rPr>
      </w:pPr>
      <w:r w:rsidRPr="00DB045A">
        <w:rPr>
          <w:lang w:eastAsia="cs-CZ"/>
        </w:rPr>
        <w:t>Subjekty, které mají jakýkoli vztah uvedený v písmenech a) až d) prostřednictvím jednoho nebo více subjektů, jsou považovány za jeden podnik.</w:t>
      </w:r>
    </w:p>
    <w:p w14:paraId="3B11D515" w14:textId="77777777" w:rsidR="00D514E2" w:rsidRPr="00DB045A" w:rsidRDefault="00D514E2" w:rsidP="00B60375">
      <w:pPr>
        <w:spacing w:line="276" w:lineRule="auto"/>
        <w:jc w:val="both"/>
        <w:rPr>
          <w:lang w:eastAsia="cs-CZ"/>
        </w:rPr>
      </w:pPr>
    </w:p>
    <w:p w14:paraId="5ED0C984" w14:textId="77777777" w:rsidR="00B60375" w:rsidRDefault="00B60375" w:rsidP="00B60375">
      <w:pPr>
        <w:spacing w:line="276" w:lineRule="auto"/>
        <w:jc w:val="both"/>
        <w:rPr>
          <w:lang w:eastAsia="cs-CZ"/>
        </w:rPr>
      </w:pPr>
      <w:r w:rsidRPr="00DB045A">
        <w:rPr>
          <w:lang w:eastAsia="cs-CZ"/>
        </w:rPr>
        <w:t xml:space="preserve">V případě rozdělení příjemce podpory na dva či více samostatné podniky v období tří let od data vydání </w:t>
      </w:r>
      <w:r>
        <w:rPr>
          <w:lang w:eastAsia="cs-CZ"/>
        </w:rPr>
        <w:t>ROPD/PA</w:t>
      </w:r>
      <w:r w:rsidRPr="00DB045A">
        <w:rPr>
          <w:lang w:eastAsia="cs-CZ"/>
        </w:rPr>
        <w:t xml:space="preserve"> je příjemce povinen informovat ZP, jak podporu de minimis rozdělit v Registru de minimis. </w:t>
      </w:r>
    </w:p>
    <w:p w14:paraId="30B9C29C" w14:textId="77777777" w:rsidR="00D514E2" w:rsidRPr="00DB045A" w:rsidRDefault="00D514E2" w:rsidP="00B60375">
      <w:pPr>
        <w:spacing w:line="276" w:lineRule="auto"/>
        <w:jc w:val="both"/>
        <w:rPr>
          <w:lang w:eastAsia="cs-CZ"/>
        </w:rPr>
      </w:pPr>
    </w:p>
    <w:p w14:paraId="0ACFBC13" w14:textId="77777777" w:rsidR="00B60375" w:rsidRPr="00DB045A" w:rsidRDefault="00B60375" w:rsidP="00B60375">
      <w:pPr>
        <w:spacing w:line="276" w:lineRule="auto"/>
        <w:jc w:val="both"/>
        <w:rPr>
          <w:lang w:eastAsia="cs-CZ"/>
        </w:rPr>
      </w:pPr>
      <w:r w:rsidRPr="00DB045A">
        <w:rPr>
          <w:lang w:eastAsia="cs-CZ"/>
        </w:rPr>
        <w:t xml:space="preserve">V případě, že v období tří let od nabytí účinnosti </w:t>
      </w:r>
      <w:r>
        <w:rPr>
          <w:lang w:eastAsia="cs-CZ"/>
        </w:rPr>
        <w:t>ROPD/PA</w:t>
      </w:r>
      <w:r w:rsidRPr="00DB045A">
        <w:rPr>
          <w:lang w:eastAsia="cs-CZ"/>
        </w:rPr>
        <w:t xml:space="preserve"> dojde k rozdělení příjemce podpory na dva či více samostatných podniků, respektive v případě sloučení příjemce podpory s jiným podnikem/převodu jmění podniku na společníka, je příjemce podpory povinen neprodleně informovat poskytovatele podpory o rozdělení podniku, respektive sloučení podniku/převodu jmění podniku na společníka, a poskytnout mu informace nezbytné pro úpravu záznamu podpory de minimis poskytnuté dle </w:t>
      </w:r>
      <w:r>
        <w:rPr>
          <w:lang w:eastAsia="cs-CZ"/>
        </w:rPr>
        <w:t>ROPD/</w:t>
      </w:r>
      <w:r w:rsidRPr="00DB045A">
        <w:rPr>
          <w:lang w:eastAsia="cs-CZ"/>
        </w:rPr>
        <w:t xml:space="preserve">PA v Registru de minimis. </w:t>
      </w:r>
    </w:p>
    <w:p w14:paraId="5E6EE6B0" w14:textId="77777777" w:rsidR="00B60375" w:rsidRPr="00DB045A" w:rsidRDefault="00B60375" w:rsidP="00B60375">
      <w:pPr>
        <w:spacing w:line="276" w:lineRule="auto"/>
        <w:jc w:val="both"/>
        <w:rPr>
          <w:lang w:eastAsia="cs-CZ"/>
        </w:rPr>
      </w:pPr>
    </w:p>
    <w:p w14:paraId="5F94DA35" w14:textId="77777777" w:rsidR="00B60375" w:rsidRPr="00DB045A" w:rsidRDefault="00B60375" w:rsidP="00B60375">
      <w:pPr>
        <w:spacing w:line="276" w:lineRule="auto"/>
        <w:jc w:val="both"/>
        <w:rPr>
          <w:lang w:eastAsia="cs-CZ"/>
        </w:rPr>
      </w:pPr>
      <w:r w:rsidRPr="00DB045A">
        <w:rPr>
          <w:lang w:eastAsia="cs-CZ"/>
        </w:rPr>
        <w:t>Propojenost podniků pro účely podpory de minimis se sleduje napříč všemi státy. Je tedy nezbytné zohledňovat propojení i přes dceřiné či mateřské společnosti sídlící v zahraničí, jeden podnik může tedy být propojen přes subjekty domácí i přes subjekty sídlící v jiných státech EU, ale i přes subjekty sídlící mimo EU. Podniky, které mají přímou vazbu na stejnou obec nebo kraj (tentýž orgán veřejné moci) a nemají žádný vzájemný vztah, se za propojené podniky nepovažují. Podle čl. 5 bodu 1 nařízení 2023/2831 lze podporu de minimis udělenou v souladu s tímto nařízením kumulovat s podporou de minimis udělenou v souladu s nařízením Komise (EU) 2023/2832</w:t>
      </w:r>
      <w:r w:rsidRPr="00DB045A">
        <w:rPr>
          <w:rStyle w:val="Znakapoznpodarou"/>
          <w:lang w:eastAsia="cs-CZ"/>
        </w:rPr>
        <w:footnoteReference w:id="4"/>
      </w:r>
      <w:r w:rsidRPr="00DB045A">
        <w:rPr>
          <w:lang w:eastAsia="cs-CZ"/>
        </w:rPr>
        <w:t>.</w:t>
      </w:r>
    </w:p>
    <w:p w14:paraId="6C840F26" w14:textId="77777777" w:rsidR="00B60375" w:rsidRPr="00DB045A" w:rsidRDefault="00B60375" w:rsidP="00B60375">
      <w:pPr>
        <w:spacing w:line="276" w:lineRule="auto"/>
        <w:jc w:val="both"/>
        <w:rPr>
          <w:lang w:eastAsia="cs-CZ"/>
        </w:rPr>
      </w:pPr>
    </w:p>
    <w:p w14:paraId="2146143A" w14:textId="77777777" w:rsidR="00B60375" w:rsidRDefault="00B60375" w:rsidP="00B60375">
      <w:pPr>
        <w:spacing w:line="276" w:lineRule="auto"/>
        <w:jc w:val="both"/>
        <w:rPr>
          <w:lang w:eastAsia="cs-CZ"/>
        </w:rPr>
      </w:pPr>
      <w:r w:rsidRPr="00DB045A">
        <w:rPr>
          <w:lang w:eastAsia="cs-CZ"/>
        </w:rPr>
        <w:t xml:space="preserve">Podle čl. 5 bodu 2 nařízení 2023/2831 lze podporu de minimis udělenou v souladu s tímto nařízením kumulovat s podporou de minimis udělenou v souladu s nařízeními Komise (EU) č. 1408/2013 a (EU) č. 717/2014 až do výše příslušného stropu stanoveného v čl. 3 odst. 2 nařízení 2023/2831. </w:t>
      </w:r>
    </w:p>
    <w:p w14:paraId="085E7228" w14:textId="77777777" w:rsidR="00620CD1" w:rsidRPr="00DB045A" w:rsidRDefault="00620CD1" w:rsidP="00B60375">
      <w:pPr>
        <w:spacing w:line="276" w:lineRule="auto"/>
        <w:jc w:val="both"/>
        <w:rPr>
          <w:lang w:eastAsia="cs-CZ"/>
        </w:rPr>
      </w:pPr>
    </w:p>
    <w:p w14:paraId="1882AC72" w14:textId="77777777" w:rsidR="00B60375" w:rsidRDefault="00B60375" w:rsidP="00B60375">
      <w:pPr>
        <w:spacing w:line="276" w:lineRule="auto"/>
        <w:jc w:val="both"/>
        <w:rPr>
          <w:lang w:eastAsia="cs-CZ"/>
        </w:rPr>
      </w:pPr>
      <w:r w:rsidRPr="00DB045A">
        <w:rPr>
          <w:lang w:eastAsia="cs-CZ"/>
        </w:rPr>
        <w:t xml:space="preserve">Podle čl. 5 bodu 3 nařízení 2023/2831 nelze podporu de minimis udělenou v souladu s tímto nařízením kumulovat se státní podporou na tytéž způsobilé náklady nebo se státní podporou na tatáž opatření rizikového financování, pokud by taková kumulace překročila nejvyšší příslušnou intenzitu podpory či výši podpory, která je pro specifické okolnosti každého případu stanovena v nařízení o blokové výjimce nebo v rozhodnutí přijatém Komisí. Podporu de minimis, která není udělena na zvláštní způsobilé náklady či není těmto nákladům přičitatelná, lze kumulovat s jinou státní podporou udělenou na základě nařízení o blokové výjimce nebo rozhodnutí přijatého Komisí. </w:t>
      </w:r>
    </w:p>
    <w:p w14:paraId="12F6DA7F" w14:textId="77777777" w:rsidR="00620CD1" w:rsidRPr="00DB045A" w:rsidRDefault="00620CD1" w:rsidP="00B60375">
      <w:pPr>
        <w:spacing w:line="276" w:lineRule="auto"/>
        <w:jc w:val="both"/>
        <w:rPr>
          <w:lang w:eastAsia="cs-CZ"/>
        </w:rPr>
      </w:pPr>
    </w:p>
    <w:p w14:paraId="681E4DCE" w14:textId="77777777" w:rsidR="00B60375" w:rsidRPr="00DB045A" w:rsidRDefault="00B60375" w:rsidP="00B60375">
      <w:pPr>
        <w:spacing w:line="276" w:lineRule="auto"/>
        <w:jc w:val="both"/>
        <w:rPr>
          <w:lang w:eastAsia="cs-CZ"/>
        </w:rPr>
      </w:pPr>
      <w:r w:rsidRPr="00DB045A">
        <w:rPr>
          <w:lang w:eastAsia="cs-CZ"/>
        </w:rPr>
        <w:t xml:space="preserve">Poskytnutá a do Registru de minimis zaznamenaná podpora, která nebyla příjemci vyplacena nebo která nebyla celá příjemcem vyčerpána, může být na písemnou žádost příjemce v Registru </w:t>
      </w:r>
      <w:r w:rsidRPr="00DB045A">
        <w:rPr>
          <w:lang w:eastAsia="cs-CZ"/>
        </w:rPr>
        <w:lastRenderedPageBreak/>
        <w:t>de minimis upravena, aby odpovídala skutečné výši poskytnuté podpory de minimis.</w:t>
      </w:r>
      <w:r w:rsidRPr="00205EAB">
        <w:rPr>
          <w:rFonts w:ascii="Segoe UI" w:hAnsi="Segoe UI" w:cs="Segoe UI"/>
          <w:sz w:val="18"/>
          <w:szCs w:val="18"/>
        </w:rPr>
        <w:t xml:space="preserve"> </w:t>
      </w:r>
      <w:r w:rsidRPr="00205EAB">
        <w:rPr>
          <w:lang w:eastAsia="cs-CZ"/>
        </w:rPr>
        <w:t>Snížení podpory evidované v</w:t>
      </w:r>
      <w:r>
        <w:rPr>
          <w:lang w:eastAsia="cs-CZ"/>
        </w:rPr>
        <w:t> </w:t>
      </w:r>
      <w:r w:rsidRPr="00205EAB">
        <w:rPr>
          <w:lang w:eastAsia="cs-CZ"/>
        </w:rPr>
        <w:t>R</w:t>
      </w:r>
      <w:r>
        <w:rPr>
          <w:lang w:eastAsia="cs-CZ"/>
        </w:rPr>
        <w:t>egistru de minimis,</w:t>
      </w:r>
      <w:r w:rsidRPr="00205EAB">
        <w:rPr>
          <w:lang w:eastAsia="cs-CZ"/>
        </w:rPr>
        <w:t xml:space="preserve"> případně zrušení záznamu v RDM musí být prokazatelné relevantním dokladem</w:t>
      </w:r>
      <w:r>
        <w:rPr>
          <w:lang w:eastAsia="cs-CZ"/>
        </w:rPr>
        <w:t xml:space="preserve"> (z</w:t>
      </w:r>
      <w:r w:rsidRPr="00205EAB">
        <w:rPr>
          <w:lang w:eastAsia="cs-CZ"/>
        </w:rPr>
        <w:t> dokladu musí vyplývat, že nárok na podporu, resp. její část, zaniká</w:t>
      </w:r>
      <w:r>
        <w:rPr>
          <w:lang w:eastAsia="cs-CZ"/>
        </w:rPr>
        <w:t>).</w:t>
      </w:r>
    </w:p>
    <w:p w14:paraId="6D9BC11C" w14:textId="77777777" w:rsidR="00B60375" w:rsidRPr="00DB045A" w:rsidRDefault="00B60375" w:rsidP="00B60375">
      <w:pPr>
        <w:spacing w:line="276" w:lineRule="auto"/>
        <w:jc w:val="both"/>
        <w:rPr>
          <w:lang w:eastAsia="cs-CZ"/>
        </w:rPr>
      </w:pPr>
    </w:p>
    <w:p w14:paraId="2EA1F35D" w14:textId="77777777" w:rsidR="00E318F7" w:rsidRDefault="00B60375" w:rsidP="00E318F7">
      <w:pPr>
        <w:pStyle w:val="Odstavecseseznamem"/>
        <w:numPr>
          <w:ilvl w:val="0"/>
          <w:numId w:val="15"/>
        </w:numPr>
        <w:spacing w:line="276" w:lineRule="auto"/>
        <w:contextualSpacing w:val="0"/>
        <w:jc w:val="both"/>
        <w:rPr>
          <w:b/>
          <w:bCs/>
        </w:rPr>
      </w:pPr>
      <w:r w:rsidRPr="00904806">
        <w:rPr>
          <w:b/>
          <w:bCs/>
        </w:rPr>
        <w:t>Podpora v režimu de minimis podle Nařízení 1408/2013</w:t>
      </w:r>
    </w:p>
    <w:p w14:paraId="57B12AAA" w14:textId="2D0186ED" w:rsidR="00E81916" w:rsidRPr="00E318F7" w:rsidRDefault="00E81916" w:rsidP="00E318F7">
      <w:pPr>
        <w:spacing w:line="276" w:lineRule="auto"/>
        <w:jc w:val="both"/>
        <w:rPr>
          <w:b/>
          <w:bCs/>
        </w:rPr>
      </w:pPr>
      <w:r w:rsidRPr="00E318F7">
        <w:rPr>
          <w:rFonts w:eastAsia="Times New Roman"/>
          <w:lang w:eastAsia="cs-CZ"/>
        </w:rPr>
        <w:t>Podpora v režimu de minimis podle Nařízení 1408/2013 se vztahuje specificky na prvovýrobu zemědělských produktů. Umožňuje poskytnout jednomu podniku podporu až do výše 50 000 EUR (nebo dle vnitrostátního stropu) během tří let bez nutnosti schválení Evropskou komisí, přičemž tato podpora nesmí narušovat hospodářskou soutěž</w:t>
      </w:r>
    </w:p>
    <w:p w14:paraId="03AA0F9B" w14:textId="77777777" w:rsidR="00477F57" w:rsidRDefault="00477F57" w:rsidP="00E318F7">
      <w:pPr>
        <w:pStyle w:val="Odstavecseseznamem"/>
        <w:spacing w:line="276" w:lineRule="auto"/>
        <w:ind w:left="709"/>
        <w:contextualSpacing w:val="0"/>
        <w:jc w:val="both"/>
      </w:pPr>
    </w:p>
    <w:p w14:paraId="04FBFC30" w14:textId="4D885ECF" w:rsidR="00B60375" w:rsidRPr="00DB045A" w:rsidRDefault="00B60375" w:rsidP="00B60375">
      <w:pPr>
        <w:pStyle w:val="Odstavecseseznamem"/>
        <w:numPr>
          <w:ilvl w:val="0"/>
          <w:numId w:val="7"/>
        </w:numPr>
        <w:spacing w:line="276" w:lineRule="auto"/>
        <w:ind w:left="709"/>
        <w:contextualSpacing w:val="0"/>
        <w:jc w:val="both"/>
      </w:pPr>
      <w:r w:rsidRPr="00DB045A">
        <w:t>Vhodná pro investičně méně náročné projekty podávané subjekty činnými v zemědělské prvovýrobě na projekty související s touto činností (opatření na vodních nádržích).</w:t>
      </w:r>
    </w:p>
    <w:p w14:paraId="520665C0" w14:textId="77777777" w:rsidR="00B60375" w:rsidRPr="00DB045A" w:rsidRDefault="00B60375" w:rsidP="00B60375">
      <w:pPr>
        <w:pStyle w:val="Odstavecseseznamem"/>
        <w:numPr>
          <w:ilvl w:val="0"/>
          <w:numId w:val="7"/>
        </w:numPr>
        <w:spacing w:line="276" w:lineRule="auto"/>
        <w:ind w:left="709"/>
        <w:contextualSpacing w:val="0"/>
        <w:jc w:val="both"/>
      </w:pPr>
      <w:r w:rsidRPr="00DB045A">
        <w:t>Podpora je omezena maximem stanoveným výzvou a zároveň dostupným limitem v souladu s údaji v Registru podpor malého rozsahu.</w:t>
      </w:r>
    </w:p>
    <w:p w14:paraId="5A7A45F3" w14:textId="77777777" w:rsidR="00B60375" w:rsidRPr="00DB045A" w:rsidRDefault="00B60375" w:rsidP="00B60375">
      <w:pPr>
        <w:pStyle w:val="Odstavecseseznamem"/>
        <w:numPr>
          <w:ilvl w:val="0"/>
          <w:numId w:val="7"/>
        </w:numPr>
        <w:spacing w:line="276" w:lineRule="auto"/>
        <w:ind w:left="709"/>
        <w:contextualSpacing w:val="0"/>
        <w:jc w:val="both"/>
      </w:pPr>
      <w:r w:rsidRPr="00DB045A">
        <w:t xml:space="preserve">Podpora nesmí překročit </w:t>
      </w:r>
      <w:r>
        <w:t>5</w:t>
      </w:r>
      <w:r w:rsidRPr="00DB045A">
        <w:t>0 000 EUR za libovoln</w:t>
      </w:r>
      <w:r>
        <w:t>é</w:t>
      </w:r>
      <w:r w:rsidRPr="00DB045A">
        <w:t xml:space="preserve"> tři po sobě jdoucí</w:t>
      </w:r>
      <w:r>
        <w:t xml:space="preserve"> roky</w:t>
      </w:r>
      <w:r w:rsidRPr="00DB045A">
        <w:t>.</w:t>
      </w:r>
    </w:p>
    <w:p w14:paraId="1FDA54E5" w14:textId="77777777" w:rsidR="00B60375" w:rsidRPr="00DB045A" w:rsidRDefault="00B60375" w:rsidP="00B60375">
      <w:pPr>
        <w:pStyle w:val="Odstavecseseznamem"/>
        <w:numPr>
          <w:ilvl w:val="0"/>
          <w:numId w:val="7"/>
        </w:numPr>
        <w:spacing w:line="276" w:lineRule="auto"/>
        <w:ind w:left="709"/>
        <w:contextualSpacing w:val="0"/>
        <w:jc w:val="both"/>
      </w:pPr>
      <w:r w:rsidRPr="00DB045A">
        <w:t>Žadatel předloží čestné prohlášení o podporách de minimis.</w:t>
      </w:r>
    </w:p>
    <w:p w14:paraId="15F791F6" w14:textId="77777777" w:rsidR="00B60375" w:rsidRPr="00DB045A" w:rsidRDefault="00B60375" w:rsidP="00B60375">
      <w:pPr>
        <w:spacing w:line="276" w:lineRule="auto"/>
        <w:jc w:val="both"/>
        <w:rPr>
          <w:lang w:eastAsia="cs-CZ"/>
        </w:rPr>
      </w:pPr>
    </w:p>
    <w:p w14:paraId="55A749C1" w14:textId="77777777" w:rsidR="00B60375" w:rsidRPr="00904806" w:rsidRDefault="00B60375" w:rsidP="00B60375">
      <w:pPr>
        <w:pStyle w:val="Odstavecseseznamem"/>
        <w:numPr>
          <w:ilvl w:val="0"/>
          <w:numId w:val="15"/>
        </w:numPr>
        <w:spacing w:line="276" w:lineRule="auto"/>
        <w:contextualSpacing w:val="0"/>
        <w:jc w:val="both"/>
        <w:rPr>
          <w:b/>
          <w:bCs/>
        </w:rPr>
      </w:pPr>
      <w:r w:rsidRPr="00904806">
        <w:rPr>
          <w:b/>
          <w:bCs/>
        </w:rPr>
        <w:t>Podpora v režimu de minimis podle Nařízení 717/2014</w:t>
      </w:r>
    </w:p>
    <w:p w14:paraId="289F50C5" w14:textId="03655BFE" w:rsidR="00477F57" w:rsidRDefault="00477F57" w:rsidP="00477F57">
      <w:pPr>
        <w:spacing w:line="276" w:lineRule="auto"/>
        <w:jc w:val="both"/>
      </w:pPr>
      <w:r>
        <w:t>Podpora v režimu de minimis podle Nařízení Komise (EU) č. 717/2014 se vztahuje na podniky v odvětví rybolovu a akvakultury. Celková výše podpory nesmí překročit 40 000 EUR na jeden podnik v průběhu tří let. Tato podpora nevyžaduje schválení Komisí.</w:t>
      </w:r>
    </w:p>
    <w:p w14:paraId="6B155F53" w14:textId="77777777" w:rsidR="00477F57" w:rsidRDefault="00477F57" w:rsidP="00E318F7">
      <w:pPr>
        <w:spacing w:line="276" w:lineRule="auto"/>
        <w:jc w:val="both"/>
      </w:pPr>
    </w:p>
    <w:p w14:paraId="0DC56495" w14:textId="059E6542" w:rsidR="00B60375" w:rsidRPr="00DB045A" w:rsidRDefault="00B60375" w:rsidP="00B60375">
      <w:pPr>
        <w:pStyle w:val="Odstavecseseznamem"/>
        <w:numPr>
          <w:ilvl w:val="0"/>
          <w:numId w:val="8"/>
        </w:numPr>
        <w:spacing w:line="276" w:lineRule="auto"/>
        <w:contextualSpacing w:val="0"/>
        <w:jc w:val="both"/>
      </w:pPr>
      <w:r w:rsidRPr="00DB045A">
        <w:t>Vhodná pro investičně méně náročné projekty podávané subjekty činnými v odvětví akvakultury na projekty související s touto činností (opatření na vodních nádržích).</w:t>
      </w:r>
    </w:p>
    <w:p w14:paraId="68B05815" w14:textId="77777777" w:rsidR="00B60375" w:rsidRPr="00DB045A" w:rsidRDefault="00B60375" w:rsidP="00B60375">
      <w:pPr>
        <w:pStyle w:val="Odstavecseseznamem"/>
        <w:numPr>
          <w:ilvl w:val="0"/>
          <w:numId w:val="8"/>
        </w:numPr>
        <w:spacing w:line="276" w:lineRule="auto"/>
        <w:contextualSpacing w:val="0"/>
        <w:jc w:val="both"/>
      </w:pPr>
      <w:r w:rsidRPr="00DB045A">
        <w:t>Podpora je omezena maximem stanoveným výzvou a zároveň dostupným limitem v souladu s údaji v Registru podpor malého rozsahu.</w:t>
      </w:r>
    </w:p>
    <w:p w14:paraId="5030010F" w14:textId="77777777" w:rsidR="00B60375" w:rsidRPr="00DB045A" w:rsidRDefault="00B60375" w:rsidP="00B60375">
      <w:pPr>
        <w:pStyle w:val="Odstavecseseznamem"/>
        <w:numPr>
          <w:ilvl w:val="0"/>
          <w:numId w:val="8"/>
        </w:numPr>
        <w:spacing w:line="276" w:lineRule="auto"/>
        <w:contextualSpacing w:val="0"/>
        <w:jc w:val="both"/>
      </w:pPr>
      <w:r w:rsidRPr="00DB045A">
        <w:t xml:space="preserve">Podpora nesmí překročit </w:t>
      </w:r>
      <w:r>
        <w:t>4</w:t>
      </w:r>
      <w:r w:rsidRPr="00DB045A">
        <w:t>0 000 EUR za libovolná tři po sobě jdoucí jednoletá účetní období.</w:t>
      </w:r>
    </w:p>
    <w:p w14:paraId="5CA577B6" w14:textId="77777777" w:rsidR="00B60375" w:rsidRPr="00DB045A" w:rsidRDefault="00B60375" w:rsidP="00B60375">
      <w:pPr>
        <w:pStyle w:val="Odstavecseseznamem"/>
        <w:numPr>
          <w:ilvl w:val="0"/>
          <w:numId w:val="8"/>
        </w:numPr>
        <w:spacing w:line="276" w:lineRule="auto"/>
        <w:contextualSpacing w:val="0"/>
        <w:jc w:val="both"/>
      </w:pPr>
      <w:r w:rsidRPr="00DB045A">
        <w:t>Žadatel předloží čestné prohlášení o podporách de minimis</w:t>
      </w:r>
    </w:p>
    <w:p w14:paraId="1E82EAE6" w14:textId="77777777" w:rsidR="00B60375" w:rsidRDefault="00B60375" w:rsidP="00B60375">
      <w:pPr>
        <w:spacing w:line="276" w:lineRule="auto"/>
        <w:jc w:val="both"/>
        <w:rPr>
          <w:lang w:eastAsia="cs-CZ"/>
        </w:rPr>
      </w:pPr>
    </w:p>
    <w:p w14:paraId="3231A320" w14:textId="77777777" w:rsidR="00B60375" w:rsidRPr="00DB045A" w:rsidRDefault="00B60375" w:rsidP="00B60375">
      <w:pPr>
        <w:spacing w:line="276" w:lineRule="auto"/>
        <w:jc w:val="both"/>
        <w:rPr>
          <w:lang w:eastAsia="cs-CZ"/>
        </w:rPr>
      </w:pPr>
      <w:r w:rsidRPr="00DB045A">
        <w:rPr>
          <w:b/>
          <w:bCs/>
          <w:lang w:eastAsia="cs-CZ"/>
        </w:rPr>
        <w:t xml:space="preserve">Žadatel o podporu </w:t>
      </w:r>
    </w:p>
    <w:p w14:paraId="354BC6BC" w14:textId="77777777" w:rsidR="00B60375" w:rsidRPr="00DB045A" w:rsidRDefault="00B60375" w:rsidP="00B60375">
      <w:pPr>
        <w:spacing w:line="276" w:lineRule="auto"/>
        <w:jc w:val="both"/>
        <w:rPr>
          <w:lang w:eastAsia="cs-CZ"/>
        </w:rPr>
      </w:pPr>
      <w:r w:rsidRPr="00DB045A">
        <w:rPr>
          <w:lang w:eastAsia="cs-CZ"/>
        </w:rPr>
        <w:t xml:space="preserve">Žadatel o podporu nese odpovědnost za nesprávné, neúplné či zkreslené údaje, které povedou k chybnému určení veřejné podpory. V případě, že během realizace či udržitelnosti projektu dojde ke skutečnostem, které mohou ovlivnit vyhodnocení naplnění definičních znaků veřejné podpory, je nutné, aby </w:t>
      </w:r>
      <w:r>
        <w:rPr>
          <w:lang w:eastAsia="cs-CZ"/>
        </w:rPr>
        <w:t>KP</w:t>
      </w:r>
      <w:r w:rsidRPr="00DB045A">
        <w:rPr>
          <w:lang w:eastAsia="cs-CZ"/>
        </w:rPr>
        <w:t xml:space="preserve"> o situaci informoval prostřednictvím žádosti o změnu. </w:t>
      </w:r>
    </w:p>
    <w:p w14:paraId="3713F868" w14:textId="77777777" w:rsidR="00B60375" w:rsidRPr="00DB045A" w:rsidRDefault="00B60375" w:rsidP="00B60375">
      <w:pPr>
        <w:spacing w:line="276" w:lineRule="auto"/>
        <w:jc w:val="both"/>
        <w:rPr>
          <w:lang w:eastAsia="cs-CZ"/>
        </w:rPr>
      </w:pPr>
    </w:p>
    <w:p w14:paraId="142D8D05" w14:textId="77777777" w:rsidR="00B60375" w:rsidRPr="00DB045A" w:rsidRDefault="00B60375" w:rsidP="00B60375">
      <w:pPr>
        <w:spacing w:line="276" w:lineRule="auto"/>
        <w:rPr>
          <w:lang w:eastAsia="cs-CZ"/>
        </w:rPr>
      </w:pPr>
      <w:r w:rsidRPr="00DB045A">
        <w:rPr>
          <w:b/>
          <w:bCs/>
          <w:lang w:eastAsia="cs-CZ"/>
        </w:rPr>
        <w:t xml:space="preserve">Protiprávní veřejná podpora </w:t>
      </w:r>
    </w:p>
    <w:p w14:paraId="3287A720" w14:textId="77777777" w:rsidR="00B60375" w:rsidRPr="00DB045A" w:rsidRDefault="00B60375" w:rsidP="00B60375">
      <w:pPr>
        <w:spacing w:line="276" w:lineRule="auto"/>
        <w:jc w:val="both"/>
        <w:rPr>
          <w:lang w:eastAsia="cs-CZ"/>
        </w:rPr>
      </w:pPr>
      <w:r w:rsidRPr="00DB045A">
        <w:rPr>
          <w:lang w:eastAsia="cs-CZ"/>
        </w:rPr>
        <w:t>Hlavní roli při posuzování pravidel veřejné podpory má Komise. Podnět, že došlo k poskytnutí protiprávní veřejné podpory, může podat kdokoli a Komise má povinnost se podnětem zabývat. Pokud Komise rozhodne, že je protiprávní veřejná podpora neslučitelná s</w:t>
      </w:r>
      <w:r>
        <w:rPr>
          <w:lang w:eastAsia="cs-CZ"/>
        </w:rPr>
        <w:t xml:space="preserve"> vnitřním</w:t>
      </w:r>
      <w:r w:rsidRPr="00DB045A">
        <w:rPr>
          <w:lang w:eastAsia="cs-CZ"/>
        </w:rPr>
        <w:t xml:space="preserve"> trhem, má příjemce povinnosti vrátit poskytnutou veřejnou podporu</w:t>
      </w:r>
      <w:r>
        <w:rPr>
          <w:lang w:eastAsia="cs-CZ"/>
        </w:rPr>
        <w:t xml:space="preserve"> včetně úroků</w:t>
      </w:r>
      <w:r w:rsidRPr="00DB045A">
        <w:rPr>
          <w:lang w:eastAsia="cs-CZ"/>
        </w:rPr>
        <w:t xml:space="preserve">. Projeví se zde hledisko narušení rovnovážného stavu na trhu zásahem veřejného subjektu. Aby došlo k nápravě, musí být tento stav odstraněn. </w:t>
      </w:r>
    </w:p>
    <w:p w14:paraId="192333D8" w14:textId="77777777" w:rsidR="00B60375" w:rsidRPr="00DB045A" w:rsidRDefault="00B60375" w:rsidP="00B60375">
      <w:pPr>
        <w:spacing w:line="276" w:lineRule="auto"/>
        <w:jc w:val="both"/>
        <w:rPr>
          <w:lang w:eastAsia="cs-CZ"/>
        </w:rPr>
      </w:pPr>
    </w:p>
    <w:p w14:paraId="7688A84D" w14:textId="77777777" w:rsidR="00B60375" w:rsidRDefault="00B60375" w:rsidP="00B60375">
      <w:pPr>
        <w:spacing w:line="276" w:lineRule="auto"/>
        <w:jc w:val="both"/>
        <w:rPr>
          <w:lang w:eastAsia="cs-CZ"/>
        </w:rPr>
      </w:pPr>
      <w:r w:rsidRPr="00DB045A">
        <w:rPr>
          <w:lang w:eastAsia="cs-CZ"/>
        </w:rPr>
        <w:t xml:space="preserve">Promlčecí lhůta pro zahájení jednání ve věci protiprávní podpory je deset let a počíná běžet dnem, kdy byla </w:t>
      </w:r>
      <w:r>
        <w:rPr>
          <w:lang w:eastAsia="cs-CZ"/>
        </w:rPr>
        <w:t>podpora poskytnuta</w:t>
      </w:r>
      <w:r w:rsidRPr="00DB045A">
        <w:rPr>
          <w:lang w:eastAsia="cs-CZ"/>
        </w:rPr>
        <w:t>. Pokud byl vůči příjemci vystaven příkaz k navrácení protiprávní podpory v návaznosti na rozhodnutí Komise, kterým je podpora prohlášena za protiprávní a neslučitelnou s vnitřním trhem, ZP pozastaví vyplacení podpory do vypořádání předchozích závazků. ZP příjemce neprodleně vyzve k navrácení podpory. Nevyplývá-li lhůta k navrácení veřejné podpory z rozhodnutí Komise, lhůtu stanoví ZP. Příjemce musí vrátit bez zbytečného odkladu vyplacenou část dotace a úroky, pokud EK rozhodne o vrácení podpory, prozatímním navrácení podpory nebo o pozastavení podpory.</w:t>
      </w:r>
    </w:p>
    <w:p w14:paraId="73AD9312" w14:textId="77777777" w:rsidR="00B60375" w:rsidRDefault="00B60375" w:rsidP="00B60375">
      <w:pPr>
        <w:spacing w:line="276" w:lineRule="auto"/>
        <w:jc w:val="both"/>
        <w:rPr>
          <w:lang w:eastAsia="cs-CZ"/>
        </w:rPr>
      </w:pPr>
    </w:p>
    <w:p w14:paraId="64F0188A" w14:textId="3B7DBEFF" w:rsidR="00B60375" w:rsidRDefault="00B60375" w:rsidP="00B60375">
      <w:pPr>
        <w:spacing w:line="276" w:lineRule="auto"/>
        <w:jc w:val="both"/>
        <w:rPr>
          <w:lang w:eastAsia="cs-CZ"/>
        </w:rPr>
      </w:pPr>
      <w:r>
        <w:t>.</w:t>
      </w:r>
    </w:p>
    <w:sectPr w:rsidR="00B6037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AC08" w14:textId="77777777" w:rsidR="00B60375" w:rsidRDefault="00B60375" w:rsidP="00B60375">
      <w:r>
        <w:separator/>
      </w:r>
    </w:p>
  </w:endnote>
  <w:endnote w:type="continuationSeparator" w:id="0">
    <w:p w14:paraId="645BF7A4" w14:textId="77777777" w:rsidR="00B60375" w:rsidRDefault="00B60375" w:rsidP="00B6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
    <w:panose1 w:val="020B060402020203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8261494"/>
      <w:docPartObj>
        <w:docPartGallery w:val="Page Numbers (Bottom of Page)"/>
        <w:docPartUnique/>
      </w:docPartObj>
    </w:sdtPr>
    <w:sdtEndPr/>
    <w:sdtContent>
      <w:p w14:paraId="1DA27472" w14:textId="3F2ACE05" w:rsidR="00F1022C" w:rsidRDefault="00F1022C">
        <w:pPr>
          <w:pStyle w:val="Zpat"/>
          <w:jc w:val="right"/>
        </w:pPr>
        <w:r>
          <w:fldChar w:fldCharType="begin"/>
        </w:r>
        <w:r>
          <w:instrText>PAGE   \* MERGEFORMAT</w:instrText>
        </w:r>
        <w:r>
          <w:fldChar w:fldCharType="separate"/>
        </w:r>
        <w:r>
          <w:t>2</w:t>
        </w:r>
        <w:r>
          <w:fldChar w:fldCharType="end"/>
        </w:r>
      </w:p>
    </w:sdtContent>
  </w:sdt>
  <w:p w14:paraId="441BF6D0" w14:textId="77777777" w:rsidR="00F1022C" w:rsidRDefault="00F1022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EB8C1" w14:textId="77777777" w:rsidR="00B60375" w:rsidRDefault="00B60375" w:rsidP="00B60375">
      <w:r>
        <w:separator/>
      </w:r>
    </w:p>
  </w:footnote>
  <w:footnote w:type="continuationSeparator" w:id="0">
    <w:p w14:paraId="60761839" w14:textId="77777777" w:rsidR="00B60375" w:rsidRDefault="00B60375" w:rsidP="00B60375">
      <w:r>
        <w:continuationSeparator/>
      </w:r>
    </w:p>
  </w:footnote>
  <w:footnote w:id="1">
    <w:p w14:paraId="060CD8BA" w14:textId="77777777" w:rsidR="00B60375" w:rsidRPr="00904806" w:rsidRDefault="00B60375" w:rsidP="00B60375">
      <w:pPr>
        <w:pStyle w:val="Textpoznpodarou"/>
        <w:ind w:left="0" w:firstLine="0"/>
        <w:rPr>
          <w:sz w:val="18"/>
          <w:szCs w:val="18"/>
        </w:rPr>
      </w:pPr>
      <w:r w:rsidRPr="00904806">
        <w:rPr>
          <w:rStyle w:val="Znakapoznpodarou"/>
          <w:sz w:val="18"/>
          <w:szCs w:val="18"/>
        </w:rPr>
        <w:footnoteRef/>
      </w:r>
      <w:r w:rsidRPr="00904806">
        <w:rPr>
          <w:sz w:val="18"/>
          <w:szCs w:val="18"/>
        </w:rPr>
        <w:t xml:space="preserve"> Bližší informace o podmínkách poskytování podpory v režimu </w:t>
      </w:r>
      <w:r w:rsidRPr="00904806">
        <w:rPr>
          <w:i/>
          <w:iCs/>
          <w:sz w:val="18"/>
          <w:szCs w:val="18"/>
        </w:rPr>
        <w:t xml:space="preserve">de minimis </w:t>
      </w:r>
      <w:r w:rsidRPr="00904806">
        <w:rPr>
          <w:sz w:val="18"/>
          <w:szCs w:val="18"/>
        </w:rPr>
        <w:t xml:space="preserve">lze nalézt na </w:t>
      </w:r>
      <w:hyperlink r:id="rId1" w:history="1">
        <w:r w:rsidRPr="00904806">
          <w:rPr>
            <w:rStyle w:val="Hypertextovodkaz"/>
            <w:sz w:val="18"/>
            <w:szCs w:val="18"/>
          </w:rPr>
          <w:t>https://uohs.gov.cz/cs/verejna-podpora/podpora-de-minimis-a-registr-de-minimis.html</w:t>
        </w:r>
      </w:hyperlink>
      <w:r w:rsidRPr="00904806">
        <w:rPr>
          <w:rStyle w:val="Hypertextovodkaz"/>
          <w:sz w:val="18"/>
          <w:szCs w:val="18"/>
        </w:rPr>
        <w:t xml:space="preserve"> a dále </w:t>
      </w:r>
      <w:hyperlink r:id="rId2" w:history="1">
        <w:r w:rsidRPr="00904806">
          <w:rPr>
            <w:rStyle w:val="Hypertextovodkaz"/>
            <w:sz w:val="18"/>
            <w:szCs w:val="18"/>
          </w:rPr>
          <w:t>https://mze.gov.cz/public/portal/mze/dotace/verejna-podpora-a-de-minimis/podpora-de-minimis</w:t>
        </w:r>
      </w:hyperlink>
      <w:r w:rsidRPr="00904806">
        <w:rPr>
          <w:sz w:val="18"/>
          <w:szCs w:val="18"/>
        </w:rPr>
        <w:t>.</w:t>
      </w:r>
    </w:p>
    <w:p w14:paraId="35E30E45" w14:textId="77777777" w:rsidR="00B60375" w:rsidRPr="00DB045A" w:rsidRDefault="00B60375" w:rsidP="00B60375">
      <w:pPr>
        <w:pStyle w:val="Textpoznpodarou"/>
        <w:ind w:left="0" w:firstLine="0"/>
      </w:pPr>
    </w:p>
  </w:footnote>
  <w:footnote w:id="2">
    <w:p w14:paraId="62A73778" w14:textId="77777777" w:rsidR="00B60375" w:rsidRPr="00904806" w:rsidRDefault="00B60375" w:rsidP="00B60375">
      <w:pPr>
        <w:pStyle w:val="Textpoznpodarou"/>
        <w:ind w:left="0" w:firstLine="0"/>
        <w:rPr>
          <w:sz w:val="18"/>
          <w:szCs w:val="18"/>
        </w:rPr>
      </w:pPr>
      <w:r>
        <w:rPr>
          <w:rStyle w:val="Znakapoznpodarou"/>
        </w:rPr>
        <w:footnoteRef/>
      </w:r>
      <w:r>
        <w:t xml:space="preserve"> </w:t>
      </w:r>
      <w:r w:rsidRPr="00904806">
        <w:rPr>
          <w:sz w:val="18"/>
          <w:szCs w:val="18"/>
        </w:rPr>
        <w:t>Bližší informace o propojeném podniku j</w:t>
      </w:r>
      <w:r>
        <w:rPr>
          <w:sz w:val="18"/>
          <w:szCs w:val="18"/>
        </w:rPr>
        <w:t>sou</w:t>
      </w:r>
      <w:r w:rsidRPr="00904806">
        <w:rPr>
          <w:sz w:val="18"/>
          <w:szCs w:val="18"/>
        </w:rPr>
        <w:t xml:space="preserve"> v METODICKÉ PŘÍRUČCE (ke stažení na </w:t>
      </w:r>
      <w:hyperlink r:id="rId3" w:history="1">
        <w:r w:rsidRPr="00904806">
          <w:rPr>
            <w:rStyle w:val="Hypertextovodkaz"/>
            <w:sz w:val="18"/>
            <w:szCs w:val="18"/>
          </w:rPr>
          <w:t>https://www.uohs.cz/download/Sekce_VP/VP_update/Prirucka_k_pojmu_jeden_podnik_01_02_2025.pdf</w:t>
        </w:r>
      </w:hyperlink>
      <w:r w:rsidRPr="00904806">
        <w:rPr>
          <w:sz w:val="18"/>
          <w:szCs w:val="18"/>
        </w:rPr>
        <w:t xml:space="preserve"> ) k aplikaci pojmu „jeden podnik“ z pohledu pravidel podpory </w:t>
      </w:r>
      <w:r w:rsidRPr="00904806">
        <w:rPr>
          <w:i/>
          <w:sz w:val="18"/>
          <w:szCs w:val="18"/>
        </w:rPr>
        <w:t>de minimis</w:t>
      </w:r>
      <w:r w:rsidRPr="00904806">
        <w:rPr>
          <w:sz w:val="18"/>
          <w:szCs w:val="18"/>
        </w:rPr>
        <w:t>.</w:t>
      </w:r>
    </w:p>
    <w:p w14:paraId="4407DE98" w14:textId="77777777" w:rsidR="00B60375" w:rsidRDefault="00B60375" w:rsidP="00B60375">
      <w:pPr>
        <w:pStyle w:val="Textpoznpodarou"/>
      </w:pPr>
    </w:p>
  </w:footnote>
  <w:footnote w:id="3">
    <w:p w14:paraId="7CF34B8D" w14:textId="77777777" w:rsidR="00B60375" w:rsidRPr="00DB045A" w:rsidRDefault="00B60375" w:rsidP="00B60375">
      <w:pPr>
        <w:pStyle w:val="Textpoznpodarou"/>
      </w:pPr>
      <w:r w:rsidRPr="00DB045A">
        <w:rPr>
          <w:rStyle w:val="Znakapoznpodarou"/>
        </w:rPr>
        <w:footnoteRef/>
      </w:r>
      <w:r w:rsidRPr="00DB045A">
        <w:t xml:space="preserve"> Rozhodným obdobím se rozumí tři roky předcházející datu poskytnutí podpory. Např., podpora bude poskytnuta 30. 7. 2025, tj. rozhodným obdobím tří let je období od 30. 7. 2022 do 30. 7. 2025.  </w:t>
      </w:r>
    </w:p>
  </w:footnote>
  <w:footnote w:id="4">
    <w:p w14:paraId="1CA6545D" w14:textId="77777777" w:rsidR="00B60375" w:rsidRPr="00DB045A" w:rsidRDefault="00B60375" w:rsidP="00B60375">
      <w:pPr>
        <w:pStyle w:val="Textpoznpodarou"/>
      </w:pPr>
      <w:r w:rsidRPr="00DB045A">
        <w:rPr>
          <w:rStyle w:val="Znakapoznpodarou"/>
        </w:rPr>
        <w:footnoteRef/>
      </w:r>
      <w:r w:rsidRPr="00DB045A">
        <w:t xml:space="preserve"> Nařízení Komise (EU) 2023/2832 ze dne 13. prosince 2023 o použití článků 107 a 108 Smlouvy o fungování Evropské unie na podporu de minimis udílenou podnikům poskytujícím služby obecného hospodářského zájmu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07EB" w14:textId="0F9A9D58" w:rsidR="00B60375" w:rsidRDefault="005F44EB" w:rsidP="005F44EB">
    <w:pPr>
      <w:pStyle w:val="Zhlav"/>
      <w:jc w:val="right"/>
    </w:pPr>
    <w:bookmarkStart w:id="8" w:name="_Hlk213242362"/>
    <w:bookmarkStart w:id="9" w:name="_Hlk213242363"/>
    <w:r>
      <w:rPr>
        <w:noProof/>
        <w14:ligatures w14:val="standardContextual"/>
      </w:rPr>
      <w:drawing>
        <wp:anchor distT="0" distB="0" distL="114300" distR="114300" simplePos="0" relativeHeight="251658240" behindDoc="0" locked="0" layoutInCell="1" allowOverlap="1" wp14:anchorId="4DE73EC5" wp14:editId="792A4F6D">
          <wp:simplePos x="0" y="0"/>
          <wp:positionH relativeFrom="margin">
            <wp:posOffset>-423078</wp:posOffset>
          </wp:positionH>
          <wp:positionV relativeFrom="margin">
            <wp:posOffset>-595175</wp:posOffset>
          </wp:positionV>
          <wp:extent cx="2260600" cy="495300"/>
          <wp:effectExtent l="0" t="0" r="6350" b="0"/>
          <wp:wrapSquare wrapText="bothSides"/>
          <wp:docPr id="2064120773" name="Obrázek 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Obsah obrázku text, Písmo,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06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60375">
      <w:t xml:space="preserve">Příloha č. </w:t>
    </w:r>
    <w:r w:rsidR="004757D3">
      <w:t>5</w:t>
    </w:r>
    <w:r w:rsidR="00B60375">
      <w:t xml:space="preserve"> </w:t>
    </w:r>
    <w:r w:rsidR="0032603E">
      <w:t>Pokynů pro příjemce</w:t>
    </w:r>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A51B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F4A8A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F43477"/>
    <w:multiLevelType w:val="hybridMultilevel"/>
    <w:tmpl w:val="D652AB0C"/>
    <w:lvl w:ilvl="0" w:tplc="9A368AC4">
      <w:numFmt w:val="bullet"/>
      <w:lvlText w:val="-"/>
      <w:lvlJc w:val="left"/>
      <w:pPr>
        <w:ind w:left="1004" w:hanging="360"/>
      </w:pPr>
      <w:rPr>
        <w:rFonts w:ascii="Helv" w:eastAsia="Times New Roman" w:hAnsi="Helv" w:cs="Helv"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15:restartNumberingAfterBreak="0">
    <w:nsid w:val="154640CE"/>
    <w:multiLevelType w:val="hybridMultilevel"/>
    <w:tmpl w:val="8970F8EC"/>
    <w:lvl w:ilvl="0" w:tplc="04050017">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BB16C5D"/>
    <w:multiLevelType w:val="hybridMultilevel"/>
    <w:tmpl w:val="13A8883C"/>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2E414258"/>
    <w:multiLevelType w:val="hybridMultilevel"/>
    <w:tmpl w:val="C342527A"/>
    <w:lvl w:ilvl="0" w:tplc="FFFFFFFF">
      <w:start w:val="1"/>
      <w:numFmt w:val="bullet"/>
      <w:lvlText w:val="•"/>
      <w:lvlJc w:val="left"/>
      <w:pPr>
        <w:ind w:left="862" w:hanging="360"/>
      </w:p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6" w15:restartNumberingAfterBreak="0">
    <w:nsid w:val="30FC0368"/>
    <w:multiLevelType w:val="hybridMultilevel"/>
    <w:tmpl w:val="429233F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31204C2"/>
    <w:multiLevelType w:val="multilevel"/>
    <w:tmpl w:val="B528507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6F3C6A"/>
    <w:multiLevelType w:val="hybridMultilevel"/>
    <w:tmpl w:val="CFACB990"/>
    <w:lvl w:ilvl="0" w:tplc="9A368AC4">
      <w:numFmt w:val="bullet"/>
      <w:lvlText w:val="-"/>
      <w:lvlJc w:val="left"/>
      <w:pPr>
        <w:ind w:left="720" w:hanging="360"/>
      </w:pPr>
      <w:rPr>
        <w:rFonts w:ascii="Helv" w:eastAsia="Times New Roman" w:hAnsi="Helv" w:cs="Helv"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85538D3"/>
    <w:multiLevelType w:val="hybridMultilevel"/>
    <w:tmpl w:val="E8C69A0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41E5158"/>
    <w:multiLevelType w:val="hybridMultilevel"/>
    <w:tmpl w:val="A2EA84AE"/>
    <w:lvl w:ilvl="0" w:tplc="FFFFFFFF">
      <w:start w:val="1"/>
      <w:numFmt w:val="bullet"/>
      <w:lvlText w:val="•"/>
      <w:lvlJc w:val="left"/>
      <w:pPr>
        <w:ind w:left="1571" w:hanging="360"/>
      </w:p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5AA9B2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2966AEC"/>
    <w:multiLevelType w:val="hybridMultilevel"/>
    <w:tmpl w:val="E0A4A0C8"/>
    <w:lvl w:ilvl="0" w:tplc="9D44B3A8">
      <w:start w:val="1"/>
      <w:numFmt w:val="decimal"/>
      <w:lvlText w:val="%1."/>
      <w:lvlJc w:val="left"/>
      <w:pPr>
        <w:ind w:left="644" w:hanging="360"/>
      </w:pPr>
      <w:rPr>
        <w:rFonts w:hint="default"/>
        <w:i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641D75D9"/>
    <w:multiLevelType w:val="hybridMultilevel"/>
    <w:tmpl w:val="0232ACD6"/>
    <w:lvl w:ilvl="0" w:tplc="9A368AC4">
      <w:numFmt w:val="bullet"/>
      <w:lvlText w:val="-"/>
      <w:lvlJc w:val="left"/>
      <w:pPr>
        <w:ind w:left="360" w:hanging="360"/>
      </w:pPr>
      <w:rPr>
        <w:rFonts w:ascii="Helv" w:eastAsia="Times New Roman" w:hAnsi="Helv" w:cs="Helv"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59CDEF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2DC2BEF"/>
    <w:multiLevelType w:val="hybridMultilevel"/>
    <w:tmpl w:val="6BC6ED22"/>
    <w:lvl w:ilvl="0" w:tplc="9A368AC4">
      <w:numFmt w:val="bullet"/>
      <w:lvlText w:val="-"/>
      <w:lvlJc w:val="left"/>
      <w:pPr>
        <w:ind w:left="720" w:hanging="360"/>
      </w:pPr>
      <w:rPr>
        <w:rFonts w:ascii="Helv" w:eastAsia="Times New Roman" w:hAnsi="Helv" w:cs="Helv"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4390ED1"/>
    <w:multiLevelType w:val="hybridMultilevel"/>
    <w:tmpl w:val="44CE1BA4"/>
    <w:lvl w:ilvl="0" w:tplc="FFFFFFFF">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8622D02"/>
    <w:multiLevelType w:val="hybridMultilevel"/>
    <w:tmpl w:val="BF640A8A"/>
    <w:lvl w:ilvl="0" w:tplc="FFFFFFFF">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3252879">
    <w:abstractNumId w:val="7"/>
  </w:num>
  <w:num w:numId="2" w16cid:durableId="987905000">
    <w:abstractNumId w:val="1"/>
  </w:num>
  <w:num w:numId="3" w16cid:durableId="1499148866">
    <w:abstractNumId w:val="0"/>
  </w:num>
  <w:num w:numId="4" w16cid:durableId="242184141">
    <w:abstractNumId w:val="9"/>
  </w:num>
  <w:num w:numId="5" w16cid:durableId="41638825">
    <w:abstractNumId w:val="14"/>
  </w:num>
  <w:num w:numId="6" w16cid:durableId="446316387">
    <w:abstractNumId w:val="11"/>
  </w:num>
  <w:num w:numId="7" w16cid:durableId="1866017148">
    <w:abstractNumId w:val="10"/>
  </w:num>
  <w:num w:numId="8" w16cid:durableId="1330525439">
    <w:abstractNumId w:val="16"/>
  </w:num>
  <w:num w:numId="9" w16cid:durableId="1376539738">
    <w:abstractNumId w:val="8"/>
  </w:num>
  <w:num w:numId="10" w16cid:durableId="1529904148">
    <w:abstractNumId w:val="2"/>
  </w:num>
  <w:num w:numId="11" w16cid:durableId="1651203353">
    <w:abstractNumId w:val="13"/>
  </w:num>
  <w:num w:numId="12" w16cid:durableId="1559317137">
    <w:abstractNumId w:val="15"/>
  </w:num>
  <w:num w:numId="13" w16cid:durableId="537012546">
    <w:abstractNumId w:val="6"/>
  </w:num>
  <w:num w:numId="14" w16cid:durableId="1887451322">
    <w:abstractNumId w:val="5"/>
  </w:num>
  <w:num w:numId="15" w16cid:durableId="1604338320">
    <w:abstractNumId w:val="3"/>
  </w:num>
  <w:num w:numId="16" w16cid:durableId="1065371499">
    <w:abstractNumId w:val="17"/>
  </w:num>
  <w:num w:numId="17" w16cid:durableId="580413981">
    <w:abstractNumId w:val="4"/>
  </w:num>
  <w:num w:numId="18" w16cid:durableId="12502338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375"/>
    <w:rsid w:val="00142537"/>
    <w:rsid w:val="002F5450"/>
    <w:rsid w:val="00302369"/>
    <w:rsid w:val="0032603E"/>
    <w:rsid w:val="00383DCF"/>
    <w:rsid w:val="004757D3"/>
    <w:rsid w:val="00477F57"/>
    <w:rsid w:val="004E486E"/>
    <w:rsid w:val="005D2532"/>
    <w:rsid w:val="005F44EB"/>
    <w:rsid w:val="005F4AAB"/>
    <w:rsid w:val="00620CD1"/>
    <w:rsid w:val="0070104A"/>
    <w:rsid w:val="00792E92"/>
    <w:rsid w:val="007E7DEC"/>
    <w:rsid w:val="007F5038"/>
    <w:rsid w:val="009816C6"/>
    <w:rsid w:val="00A05456"/>
    <w:rsid w:val="00A811FE"/>
    <w:rsid w:val="00B60375"/>
    <w:rsid w:val="00B80786"/>
    <w:rsid w:val="00C91BEF"/>
    <w:rsid w:val="00D514E2"/>
    <w:rsid w:val="00E318F7"/>
    <w:rsid w:val="00E81916"/>
    <w:rsid w:val="00F1022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3FFDBE"/>
  <w15:chartTrackingRefBased/>
  <w15:docId w15:val="{D47D94D8-225A-4DB6-91DB-F3E93A6C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60375"/>
    <w:pPr>
      <w:spacing w:after="0" w:line="240" w:lineRule="auto"/>
    </w:pPr>
    <w:rPr>
      <w:rFonts w:ascii="Times New Roman" w:eastAsia="SimSun" w:hAnsi="Times New Roman" w:cs="Times New Roman"/>
      <w:kern w:val="0"/>
      <w:sz w:val="24"/>
      <w:szCs w:val="24"/>
      <w:lang w:eastAsia="zh-CN"/>
      <w14:ligatures w14:val="none"/>
    </w:rPr>
  </w:style>
  <w:style w:type="paragraph" w:styleId="Nadpis1">
    <w:name w:val="heading 1"/>
    <w:basedOn w:val="Normln"/>
    <w:next w:val="Normln"/>
    <w:link w:val="Nadpis1Char"/>
    <w:uiPriority w:val="9"/>
    <w:qFormat/>
    <w:rsid w:val="00B603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aliases w:val="Podkapitola 1,Podkapitola 11,Podkapitola 12,Podkapitola 13,Podkapito... Char,Podkapitola 14,Podkapitola 111,Podkapitola 121,Podkapitola 131,Podkapitola 15,Podkapitola 112,Podkapitola 122,Podkapitola 132,Podkapitola 16,Podkapitola 113,h2,V_Head2"/>
    <w:basedOn w:val="Normln"/>
    <w:next w:val="Normln"/>
    <w:link w:val="Nadpis2Char"/>
    <w:uiPriority w:val="9"/>
    <w:unhideWhenUsed/>
    <w:qFormat/>
    <w:rsid w:val="00B603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aliases w:val="Nadpis 3 Char1,Nadpis 3 Char Char"/>
    <w:basedOn w:val="Normln"/>
    <w:next w:val="Normln"/>
    <w:link w:val="Nadpis3Char"/>
    <w:uiPriority w:val="9"/>
    <w:unhideWhenUsed/>
    <w:qFormat/>
    <w:rsid w:val="00B6037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6037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6037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60375"/>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60375"/>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60375"/>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60375"/>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60375"/>
    <w:rPr>
      <w:rFonts w:asciiTheme="majorHAnsi" w:eastAsiaTheme="majorEastAsia" w:hAnsiTheme="majorHAnsi" w:cstheme="majorBidi"/>
      <w:color w:val="0F4761" w:themeColor="accent1" w:themeShade="BF"/>
      <w:sz w:val="40"/>
      <w:szCs w:val="40"/>
    </w:rPr>
  </w:style>
  <w:style w:type="character" w:customStyle="1" w:styleId="Nadpis2Char">
    <w:name w:val="Nadpis 2 Char"/>
    <w:aliases w:val="Podkapitola 1 Char,Podkapitola 11 Char,Podkapitola 12 Char,Podkapitola 13 Char,Podkapito... Char Char,Podkapitola 14 Char,Podkapitola 111 Char,Podkapitola 121 Char,Podkapitola 131 Char,Podkapitola 15 Char,Podkapitola 112 Char,h2 Char"/>
    <w:basedOn w:val="Standardnpsmoodstavce"/>
    <w:link w:val="Nadpis2"/>
    <w:uiPriority w:val="9"/>
    <w:rsid w:val="00B60375"/>
    <w:rPr>
      <w:rFonts w:asciiTheme="majorHAnsi" w:eastAsiaTheme="majorEastAsia" w:hAnsiTheme="majorHAnsi" w:cstheme="majorBidi"/>
      <w:color w:val="0F4761" w:themeColor="accent1" w:themeShade="BF"/>
      <w:sz w:val="32"/>
      <w:szCs w:val="32"/>
    </w:rPr>
  </w:style>
  <w:style w:type="character" w:customStyle="1" w:styleId="Nadpis3Char">
    <w:name w:val="Nadpis 3 Char"/>
    <w:aliases w:val="Nadpis 3 Char1 Char,Nadpis 3 Char Char Char"/>
    <w:basedOn w:val="Standardnpsmoodstavce"/>
    <w:link w:val="Nadpis3"/>
    <w:uiPriority w:val="9"/>
    <w:rsid w:val="00B6037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6037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6037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6037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6037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6037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60375"/>
    <w:rPr>
      <w:rFonts w:eastAsiaTheme="majorEastAsia" w:cstheme="majorBidi"/>
      <w:color w:val="272727" w:themeColor="text1" w:themeTint="D8"/>
    </w:rPr>
  </w:style>
  <w:style w:type="paragraph" w:styleId="Nzev">
    <w:name w:val="Title"/>
    <w:basedOn w:val="Normln"/>
    <w:next w:val="Normln"/>
    <w:link w:val="NzevChar"/>
    <w:uiPriority w:val="10"/>
    <w:qFormat/>
    <w:rsid w:val="00B60375"/>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6037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6037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6037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60375"/>
    <w:pPr>
      <w:spacing w:before="160"/>
      <w:jc w:val="center"/>
    </w:pPr>
    <w:rPr>
      <w:i/>
      <w:iCs/>
      <w:color w:val="404040" w:themeColor="text1" w:themeTint="BF"/>
    </w:rPr>
  </w:style>
  <w:style w:type="character" w:customStyle="1" w:styleId="CittChar">
    <w:name w:val="Citát Char"/>
    <w:basedOn w:val="Standardnpsmoodstavce"/>
    <w:link w:val="Citt"/>
    <w:uiPriority w:val="29"/>
    <w:rsid w:val="00B60375"/>
    <w:rPr>
      <w:i/>
      <w:iCs/>
      <w:color w:val="404040" w:themeColor="text1" w:themeTint="BF"/>
    </w:rPr>
  </w:style>
  <w:style w:type="paragraph" w:styleId="Odstavecseseznamem">
    <w:name w:val="List Paragraph"/>
    <w:aliases w:val="List Paragraph 1,A_wyliczenie,K-P_odwolanie,Akapit z listą5,maz_wyliczenie,opis dzialania,Normal bullet 2,List Paragraph1,Bullet 1,Table of contents numbered,List Paragraph4,List1,Dot pt,F5 List Paragraph,List Paragraph11,L,Nad"/>
    <w:basedOn w:val="Normln"/>
    <w:link w:val="OdstavecseseznamemChar"/>
    <w:uiPriority w:val="34"/>
    <w:qFormat/>
    <w:rsid w:val="00B60375"/>
    <w:pPr>
      <w:ind w:left="720"/>
      <w:contextualSpacing/>
    </w:pPr>
  </w:style>
  <w:style w:type="character" w:styleId="Zdraznnintenzivn">
    <w:name w:val="Intense Emphasis"/>
    <w:basedOn w:val="Standardnpsmoodstavce"/>
    <w:uiPriority w:val="21"/>
    <w:qFormat/>
    <w:rsid w:val="00B60375"/>
    <w:rPr>
      <w:i/>
      <w:iCs/>
      <w:color w:val="0F4761" w:themeColor="accent1" w:themeShade="BF"/>
    </w:rPr>
  </w:style>
  <w:style w:type="paragraph" w:styleId="Vrazncitt">
    <w:name w:val="Intense Quote"/>
    <w:basedOn w:val="Normln"/>
    <w:next w:val="Normln"/>
    <w:link w:val="VrazncittChar"/>
    <w:uiPriority w:val="30"/>
    <w:qFormat/>
    <w:rsid w:val="00B603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60375"/>
    <w:rPr>
      <w:i/>
      <w:iCs/>
      <w:color w:val="0F4761" w:themeColor="accent1" w:themeShade="BF"/>
    </w:rPr>
  </w:style>
  <w:style w:type="character" w:styleId="Odkazintenzivn">
    <w:name w:val="Intense Reference"/>
    <w:basedOn w:val="Standardnpsmoodstavce"/>
    <w:uiPriority w:val="32"/>
    <w:qFormat/>
    <w:rsid w:val="00B60375"/>
    <w:rPr>
      <w:b/>
      <w:bCs/>
      <w:smallCaps/>
      <w:color w:val="0F4761" w:themeColor="accent1" w:themeShade="BF"/>
      <w:spacing w:val="5"/>
    </w:rPr>
  </w:style>
  <w:style w:type="paragraph" w:styleId="Zhlav">
    <w:name w:val="header"/>
    <w:basedOn w:val="Normln"/>
    <w:link w:val="ZhlavChar"/>
    <w:uiPriority w:val="99"/>
    <w:unhideWhenUsed/>
    <w:rsid w:val="00B60375"/>
    <w:pPr>
      <w:tabs>
        <w:tab w:val="center" w:pos="4536"/>
        <w:tab w:val="right" w:pos="9072"/>
      </w:tabs>
    </w:pPr>
  </w:style>
  <w:style w:type="character" w:customStyle="1" w:styleId="ZhlavChar">
    <w:name w:val="Záhlaví Char"/>
    <w:basedOn w:val="Standardnpsmoodstavce"/>
    <w:link w:val="Zhlav"/>
    <w:uiPriority w:val="99"/>
    <w:rsid w:val="00B60375"/>
  </w:style>
  <w:style w:type="paragraph" w:styleId="Zpat">
    <w:name w:val="footer"/>
    <w:basedOn w:val="Normln"/>
    <w:link w:val="ZpatChar"/>
    <w:uiPriority w:val="99"/>
    <w:unhideWhenUsed/>
    <w:rsid w:val="00B60375"/>
    <w:pPr>
      <w:tabs>
        <w:tab w:val="center" w:pos="4536"/>
        <w:tab w:val="right" w:pos="9072"/>
      </w:tabs>
    </w:pPr>
  </w:style>
  <w:style w:type="character" w:customStyle="1" w:styleId="ZpatChar">
    <w:name w:val="Zápatí Char"/>
    <w:basedOn w:val="Standardnpsmoodstavce"/>
    <w:link w:val="Zpat"/>
    <w:uiPriority w:val="99"/>
    <w:rsid w:val="00B60375"/>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uiPriority w:val="99"/>
    <w:rsid w:val="00B60375"/>
    <w:rPr>
      <w:rFonts w:ascii="TimesNewRomanPS" w:hAnsi="TimesNewRomanPS"/>
      <w:position w:val="6"/>
      <w:sz w:val="16"/>
    </w:rPr>
  </w:style>
  <w:style w:type="paragraph" w:styleId="Textpoznpodarou">
    <w:name w:val="footnote text"/>
    <w:aliases w:val="pozn. pod čarou,Schriftart: 9 pt,Schriftart: 10 pt,Schriftart: 8 pt,Podrozdział,Footnote,Podrozdzia3,Footnote Text Char1,Footnote Text Char Char,Footnote Text Char3 Char Char,Footnote Text Char2 Char Char Char,Footnote Text Char,f,o"/>
    <w:basedOn w:val="Normln"/>
    <w:link w:val="TextpoznpodarouChar"/>
    <w:uiPriority w:val="99"/>
    <w:qFormat/>
    <w:rsid w:val="00B60375"/>
    <w:pPr>
      <w:spacing w:before="120" w:after="240"/>
      <w:ind w:left="357" w:hanging="357"/>
      <w:jc w:val="both"/>
    </w:pPr>
    <w:rPr>
      <w:rFonts w:eastAsia="Times New Roman"/>
      <w:sz w:val="20"/>
      <w:szCs w:val="20"/>
      <w:lang w:eastAsia="cs-CZ"/>
    </w:rPr>
  </w:style>
  <w:style w:type="character" w:customStyle="1" w:styleId="TextpoznpodarouChar">
    <w:name w:val="Text pozn. pod čarou Char"/>
    <w:aliases w:val="pozn. pod čarou Char,Schriftart: 9 pt Char,Schriftart: 10 pt Char,Schriftart: 8 pt Char,Podrozdział Char,Footnote Char,Podrozdzia3 Char,Footnote Text Char1 Char,Footnote Text Char Char Char,Footnote Text Char3 Char Char Char"/>
    <w:basedOn w:val="Standardnpsmoodstavce"/>
    <w:link w:val="Textpoznpodarou"/>
    <w:uiPriority w:val="99"/>
    <w:rsid w:val="00B60375"/>
    <w:rPr>
      <w:rFonts w:ascii="Times New Roman" w:eastAsia="Times New Roman" w:hAnsi="Times New Roman" w:cs="Times New Roman"/>
      <w:kern w:val="0"/>
      <w:sz w:val="20"/>
      <w:szCs w:val="20"/>
      <w:lang w:eastAsia="cs-CZ"/>
      <w14:ligatures w14:val="none"/>
    </w:rPr>
  </w:style>
  <w:style w:type="character" w:styleId="Hypertextovodkaz">
    <w:name w:val="Hyperlink"/>
    <w:uiPriority w:val="99"/>
    <w:rsid w:val="00B60375"/>
    <w:rPr>
      <w:color w:val="0000FF"/>
      <w:u w:val="single"/>
    </w:rPr>
  </w:style>
  <w:style w:type="paragraph" w:styleId="Textkomente">
    <w:name w:val="annotation text"/>
    <w:basedOn w:val="Normln"/>
    <w:link w:val="TextkomenteChar"/>
    <w:uiPriority w:val="99"/>
    <w:rsid w:val="00B60375"/>
    <w:rPr>
      <w:sz w:val="20"/>
      <w:szCs w:val="20"/>
    </w:rPr>
  </w:style>
  <w:style w:type="character" w:customStyle="1" w:styleId="TextkomenteChar">
    <w:name w:val="Text komentáře Char"/>
    <w:basedOn w:val="Standardnpsmoodstavce"/>
    <w:link w:val="Textkomente"/>
    <w:uiPriority w:val="99"/>
    <w:rsid w:val="00B60375"/>
    <w:rPr>
      <w:rFonts w:ascii="Times New Roman" w:eastAsia="SimSun" w:hAnsi="Times New Roman" w:cs="Times New Roman"/>
      <w:kern w:val="0"/>
      <w:sz w:val="20"/>
      <w:szCs w:val="20"/>
      <w:lang w:eastAsia="zh-CN"/>
      <w14:ligatures w14:val="none"/>
    </w:rPr>
  </w:style>
  <w:style w:type="character" w:styleId="Odkaznakoment">
    <w:name w:val="annotation reference"/>
    <w:uiPriority w:val="99"/>
    <w:semiHidden/>
    <w:rsid w:val="00B60375"/>
    <w:rPr>
      <w:sz w:val="16"/>
      <w:szCs w:val="16"/>
    </w:rPr>
  </w:style>
  <w:style w:type="paragraph" w:customStyle="1" w:styleId="Default">
    <w:name w:val="Default"/>
    <w:rsid w:val="00B60375"/>
    <w:pPr>
      <w:autoSpaceDE w:val="0"/>
      <w:autoSpaceDN w:val="0"/>
      <w:adjustRightInd w:val="0"/>
      <w:spacing w:after="0" w:line="240" w:lineRule="auto"/>
    </w:pPr>
    <w:rPr>
      <w:rFonts w:ascii="Arial" w:hAnsi="Arial" w:cs="Arial"/>
      <w:color w:val="000000"/>
      <w:kern w:val="0"/>
      <w:sz w:val="24"/>
      <w:szCs w:val="24"/>
      <w14:ligatures w14:val="none"/>
    </w:rPr>
  </w:style>
  <w:style w:type="table" w:styleId="Mkatabulky">
    <w:name w:val="Table Grid"/>
    <w:basedOn w:val="Normlntabulka"/>
    <w:uiPriority w:val="59"/>
    <w:rsid w:val="00B603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List Paragraph 1 Char,A_wyliczenie Char,K-P_odwolanie Char,Akapit z listą5 Char,maz_wyliczenie Char,opis dzialania Char,Normal bullet 2 Char,List Paragraph1 Char,Bullet 1 Char,Table of contents numbered Char,List1 Char,L Char"/>
    <w:basedOn w:val="Standardnpsmoodstavce"/>
    <w:link w:val="Odstavecseseznamem"/>
    <w:uiPriority w:val="34"/>
    <w:qFormat/>
    <w:locked/>
    <w:rsid w:val="00B60375"/>
  </w:style>
  <w:style w:type="paragraph" w:styleId="Revize">
    <w:name w:val="Revision"/>
    <w:hidden/>
    <w:uiPriority w:val="99"/>
    <w:semiHidden/>
    <w:rsid w:val="00F1022C"/>
    <w:pPr>
      <w:spacing w:after="0" w:line="240" w:lineRule="auto"/>
    </w:pPr>
    <w:rPr>
      <w:rFonts w:ascii="Times New Roman" w:eastAsia="SimSu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56059">
      <w:bodyDiv w:val="1"/>
      <w:marLeft w:val="0"/>
      <w:marRight w:val="0"/>
      <w:marTop w:val="0"/>
      <w:marBottom w:val="0"/>
      <w:divBdr>
        <w:top w:val="none" w:sz="0" w:space="0" w:color="auto"/>
        <w:left w:val="none" w:sz="0" w:space="0" w:color="auto"/>
        <w:bottom w:val="none" w:sz="0" w:space="0" w:color="auto"/>
        <w:right w:val="none" w:sz="0" w:space="0" w:color="auto"/>
      </w:divBdr>
    </w:div>
    <w:div w:id="17551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uohs.cz/download/Sekce_VP/VP_update/Prirucka_k_pojmu_jeden_podnik_01_02_2025.pdf" TargetMode="External"/><Relationship Id="rId2" Type="http://schemas.openxmlformats.org/officeDocument/2006/relationships/hyperlink" Target="https://mze.gov.cz/public/portal/mze/dotace/verejna-podpora-a-de-minimis/podpora-de-minimis" TargetMode="External"/><Relationship Id="rId1" Type="http://schemas.openxmlformats.org/officeDocument/2006/relationships/hyperlink" Target="https://uohs.gov.cz/cs/verejna-podpora/podpora-de-minimis-a-registr-de-minimi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918C4-BCE6-45AD-A076-D711FDDB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2638</Words>
  <Characters>15569</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MZP</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Vaněčková</dc:creator>
  <cp:keywords/>
  <dc:description/>
  <cp:lastModifiedBy>Monika Vaněčková</cp:lastModifiedBy>
  <cp:revision>12</cp:revision>
  <dcterms:created xsi:type="dcterms:W3CDTF">2025-10-20T07:31:00Z</dcterms:created>
  <dcterms:modified xsi:type="dcterms:W3CDTF">2026-03-17T09:07:00Z</dcterms:modified>
</cp:coreProperties>
</file>